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3031A" w14:textId="47ECBADE" w:rsidR="008209AC" w:rsidRPr="00E65B1D" w:rsidRDefault="008209AC" w:rsidP="008209AC">
      <w:pPr>
        <w:pStyle w:val="Header"/>
        <w:tabs>
          <w:tab w:val="right" w:pos="9639"/>
        </w:tabs>
        <w:jc w:val="both"/>
        <w:rPr>
          <w:rFonts w:cs="Courier New"/>
          <w:sz w:val="24"/>
          <w:szCs w:val="24"/>
        </w:rPr>
      </w:pPr>
      <w:r w:rsidRPr="00E65B1D">
        <w:rPr>
          <w:rFonts w:cs="Courier New"/>
          <w:sz w:val="24"/>
          <w:szCs w:val="24"/>
        </w:rPr>
        <w:t xml:space="preserve">3GPP TSG-RAN WG4 </w:t>
      </w:r>
      <w:r w:rsidR="008F6A60">
        <w:rPr>
          <w:rFonts w:cs="Courier New"/>
          <w:sz w:val="24"/>
          <w:szCs w:val="24"/>
        </w:rPr>
        <w:t>Meeting NR ad-hoc #4</w:t>
      </w:r>
      <w:r w:rsidRPr="00E65B1D">
        <w:rPr>
          <w:rFonts w:cs="Courier New"/>
          <w:sz w:val="24"/>
          <w:szCs w:val="24"/>
        </w:rPr>
        <w:tab/>
      </w:r>
      <w:r w:rsidR="005016E2" w:rsidRPr="005016E2">
        <w:rPr>
          <w:rFonts w:cs="Courier New"/>
          <w:sz w:val="24"/>
          <w:szCs w:val="24"/>
        </w:rPr>
        <w:t>R4-</w:t>
      </w:r>
      <w:r w:rsidR="00F81CAB" w:rsidRPr="00F81CAB">
        <w:t xml:space="preserve"> </w:t>
      </w:r>
      <w:r w:rsidR="00F81CAB" w:rsidRPr="00F81CAB">
        <w:rPr>
          <w:rFonts w:cs="Courier New"/>
          <w:sz w:val="24"/>
          <w:szCs w:val="24"/>
        </w:rPr>
        <w:t>1801054</w:t>
      </w:r>
    </w:p>
    <w:p w14:paraId="183AE858" w14:textId="6E1169CB" w:rsidR="008209AC" w:rsidRPr="00DB3907" w:rsidRDefault="00052E3E" w:rsidP="008209AC">
      <w:pPr>
        <w:pStyle w:val="Header"/>
        <w:tabs>
          <w:tab w:val="left" w:pos="6521"/>
        </w:tabs>
        <w:jc w:val="both"/>
        <w:rPr>
          <w:rFonts w:cs="Courier New"/>
          <w:sz w:val="24"/>
          <w:szCs w:val="24"/>
        </w:rPr>
      </w:pPr>
      <w:r>
        <w:rPr>
          <w:rFonts w:cs="Courier New"/>
          <w:sz w:val="24"/>
          <w:szCs w:val="24"/>
        </w:rPr>
        <w:t>January</w:t>
      </w:r>
      <w:r w:rsidR="008209AC">
        <w:rPr>
          <w:rFonts w:cs="Courier New"/>
          <w:sz w:val="24"/>
          <w:szCs w:val="24"/>
        </w:rPr>
        <w:t xml:space="preserve"> </w:t>
      </w:r>
      <w:r>
        <w:rPr>
          <w:rFonts w:cs="Courier New"/>
          <w:sz w:val="24"/>
          <w:szCs w:val="24"/>
        </w:rPr>
        <w:t>22</w:t>
      </w:r>
      <w:r w:rsidRPr="00052E3E">
        <w:rPr>
          <w:rFonts w:cs="Courier New"/>
          <w:sz w:val="24"/>
          <w:szCs w:val="24"/>
          <w:vertAlign w:val="superscript"/>
        </w:rPr>
        <w:t>nd</w:t>
      </w:r>
      <w:r w:rsidR="00DE4FED">
        <w:rPr>
          <w:rFonts w:cs="Courier New"/>
          <w:sz w:val="24"/>
          <w:szCs w:val="24"/>
        </w:rPr>
        <w:t xml:space="preserve"> </w:t>
      </w:r>
      <w:r w:rsidR="008209AC" w:rsidRPr="00DB3907">
        <w:rPr>
          <w:rFonts w:cs="Courier New"/>
          <w:sz w:val="24"/>
          <w:szCs w:val="24"/>
        </w:rPr>
        <w:t xml:space="preserve">– </w:t>
      </w:r>
      <w:r w:rsidR="00D97F1F">
        <w:rPr>
          <w:rFonts w:cs="Courier New"/>
          <w:sz w:val="24"/>
          <w:szCs w:val="24"/>
        </w:rPr>
        <w:t>2</w:t>
      </w:r>
      <w:r>
        <w:rPr>
          <w:rFonts w:cs="Courier New"/>
          <w:sz w:val="24"/>
          <w:szCs w:val="24"/>
        </w:rPr>
        <w:t>6</w:t>
      </w:r>
      <w:r w:rsidR="00D97F1F">
        <w:rPr>
          <w:rFonts w:cs="Courier New"/>
          <w:sz w:val="24"/>
          <w:szCs w:val="24"/>
          <w:vertAlign w:val="superscript"/>
        </w:rPr>
        <w:t>st</w:t>
      </w:r>
      <w:r w:rsidR="008209AC">
        <w:rPr>
          <w:rFonts w:cs="Courier New"/>
          <w:sz w:val="24"/>
          <w:szCs w:val="24"/>
        </w:rPr>
        <w:t>, 201</w:t>
      </w:r>
      <w:r>
        <w:rPr>
          <w:rFonts w:cs="Courier New"/>
          <w:sz w:val="24"/>
          <w:szCs w:val="24"/>
        </w:rPr>
        <w:t>8</w:t>
      </w:r>
    </w:p>
    <w:p w14:paraId="26F04107" w14:textId="77777777" w:rsidR="008209AC" w:rsidRPr="00DB3907" w:rsidRDefault="00052E3E" w:rsidP="008209AC">
      <w:pPr>
        <w:pStyle w:val="Header"/>
        <w:jc w:val="both"/>
        <w:rPr>
          <w:rFonts w:cs="Courier New"/>
          <w:sz w:val="24"/>
          <w:szCs w:val="24"/>
        </w:rPr>
      </w:pPr>
      <w:r>
        <w:rPr>
          <w:rFonts w:cs="Courier New"/>
          <w:sz w:val="24"/>
          <w:szCs w:val="24"/>
        </w:rPr>
        <w:t>San Diego</w:t>
      </w:r>
      <w:r w:rsidR="00D97F1F">
        <w:rPr>
          <w:rFonts w:cs="Courier New"/>
          <w:sz w:val="24"/>
          <w:szCs w:val="24"/>
        </w:rPr>
        <w:t>,</w:t>
      </w:r>
      <w:r>
        <w:rPr>
          <w:rFonts w:cs="Courier New"/>
          <w:sz w:val="24"/>
          <w:szCs w:val="24"/>
        </w:rPr>
        <w:t xml:space="preserve"> CA, USA</w:t>
      </w:r>
      <w:r w:rsidR="008209AC">
        <w:rPr>
          <w:rFonts w:cs="Courier New"/>
          <w:sz w:val="24"/>
          <w:szCs w:val="24"/>
        </w:rPr>
        <w:t xml:space="preserve"> </w:t>
      </w:r>
    </w:p>
    <w:p w14:paraId="69FB60D6" w14:textId="77777777" w:rsidR="009C1F3F" w:rsidRPr="00F56E56" w:rsidRDefault="009C1F3F" w:rsidP="00AC033F">
      <w:pPr>
        <w:pStyle w:val="Header"/>
        <w:jc w:val="both"/>
        <w:rPr>
          <w:rFonts w:cs="Arial"/>
          <w:b w:val="0"/>
        </w:rPr>
      </w:pPr>
    </w:p>
    <w:p w14:paraId="6BBEF3E4" w14:textId="77777777" w:rsidR="00E43D4D" w:rsidRPr="00E53F32" w:rsidRDefault="00E43D4D" w:rsidP="00AC033F">
      <w:pPr>
        <w:pStyle w:val="Footer"/>
        <w:jc w:val="both"/>
      </w:pPr>
    </w:p>
    <w:p w14:paraId="179F5F3A" w14:textId="65F36BD7"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8879A5">
        <w:rPr>
          <w:rFonts w:ascii="Arial" w:hAnsi="Arial"/>
          <w:sz w:val="24"/>
          <w:lang w:val="en-US"/>
        </w:rPr>
        <w:t>4.6.1</w:t>
      </w:r>
    </w:p>
    <w:p w14:paraId="5814EF0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36232A99" w14:textId="7777777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E3271" w:rsidRPr="002E3271">
        <w:rPr>
          <w:rFonts w:ascii="Arial" w:hAnsi="Arial"/>
          <w:sz w:val="24"/>
          <w:lang w:val="en-US"/>
        </w:rPr>
        <w:t>On gNB Cell Frame Synchronization Accuracy Requirements</w:t>
      </w:r>
    </w:p>
    <w:p w14:paraId="7E2612DC" w14:textId="7777777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15AE759D" w14:textId="59367831"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19ADD375" w14:textId="19857DF3" w:rsidR="00C303E4" w:rsidRDefault="00C303E4" w:rsidP="008A5CE5">
      <w:pPr>
        <w:jc w:val="both"/>
        <w:rPr>
          <w:lang w:val="en-US"/>
        </w:rPr>
      </w:pPr>
      <w:r>
        <w:rPr>
          <w:lang w:val="en-US"/>
        </w:rPr>
        <w:t>In this contribution we focus on gNB cell frame synchronization requirement for NR in both frequency range 1 (FR1) and range 2 (FR2). We will present an overview of the relationship across different UE and BS timing requirements, and their implications on the cross devices interference.</w:t>
      </w:r>
    </w:p>
    <w:p w14:paraId="313D83C2" w14:textId="6D5CEBA0" w:rsidR="00C303E4" w:rsidRPr="00C303E4" w:rsidRDefault="00C303E4" w:rsidP="008A5CE5">
      <w:pPr>
        <w:jc w:val="both"/>
        <w:rPr>
          <w:lang w:val="en-US"/>
        </w:rPr>
      </w:pPr>
      <w:r>
        <w:rPr>
          <w:lang w:val="en-US"/>
        </w:rPr>
        <w:t>The goal of the paper is to point out that specific constraints due to the different subcarrier spacing (SCS) need to be taken into account to finalize the NR timing requirements. We will provide a list of recommendation and make a specific proposal.</w:t>
      </w:r>
    </w:p>
    <w:p w14:paraId="60E2CCE4" w14:textId="77777777" w:rsidR="00781440" w:rsidRDefault="00981D0D" w:rsidP="00AC033F">
      <w:pPr>
        <w:pStyle w:val="Heading1"/>
        <w:tabs>
          <w:tab w:val="clear" w:pos="432"/>
          <w:tab w:val="num" w:pos="522"/>
        </w:tabs>
        <w:ind w:left="522" w:hanging="522"/>
        <w:jc w:val="both"/>
        <w:rPr>
          <w:lang w:val="en-US"/>
        </w:rPr>
      </w:pPr>
      <w:r>
        <w:rPr>
          <w:lang w:val="en-US"/>
        </w:rPr>
        <w:t>Discussion</w:t>
      </w:r>
    </w:p>
    <w:p w14:paraId="77DB4441" w14:textId="22C519CB" w:rsidR="00EB2D5A" w:rsidRPr="00EB2D5A" w:rsidRDefault="00EB2D5A" w:rsidP="00EB2D5A">
      <w:pPr>
        <w:jc w:val="both"/>
        <w:rPr>
          <w:bCs/>
          <w:iCs/>
        </w:rPr>
      </w:pPr>
      <w:r w:rsidRPr="00EB2D5A">
        <w:rPr>
          <w:bCs/>
          <w:iCs/>
        </w:rPr>
        <w:t>Tight cell frame synchronization amongst the BSs is essential for the performance of a TDD cellular network. Absence of frame alignment may cause the downlink and the uplink timeslots to overlap with each other</w:t>
      </w:r>
      <w:r w:rsidR="004014F6">
        <w:rPr>
          <w:bCs/>
          <w:iCs/>
        </w:rPr>
        <w:t xml:space="preserve">, </w:t>
      </w:r>
      <w:r w:rsidRPr="00EB2D5A">
        <w:rPr>
          <w:bCs/>
          <w:iCs/>
        </w:rPr>
        <w:t xml:space="preserve">leading to intercell interference. For LTE TDD networks cell timing requirements have been outlined in 3GPP specifications </w:t>
      </w:r>
      <w:r w:rsidR="00653DAE">
        <w:rPr>
          <w:bCs/>
          <w:iCs/>
        </w:rPr>
        <w:fldChar w:fldCharType="begin"/>
      </w:r>
      <w:r w:rsidR="00653DAE">
        <w:rPr>
          <w:bCs/>
          <w:iCs/>
        </w:rPr>
        <w:instrText xml:space="preserve"> REF _Ref503363305 \r \h </w:instrText>
      </w:r>
      <w:r w:rsidR="00653DAE">
        <w:rPr>
          <w:bCs/>
          <w:iCs/>
        </w:rPr>
      </w:r>
      <w:r w:rsidR="00653DAE">
        <w:rPr>
          <w:bCs/>
          <w:iCs/>
        </w:rPr>
        <w:fldChar w:fldCharType="separate"/>
      </w:r>
      <w:r w:rsidR="00AB2065">
        <w:rPr>
          <w:bCs/>
          <w:iCs/>
        </w:rPr>
        <w:t>[1]</w:t>
      </w:r>
      <w:r w:rsidR="00653DAE">
        <w:rPr>
          <w:bCs/>
          <w:iCs/>
        </w:rPr>
        <w:fldChar w:fldCharType="end"/>
      </w:r>
      <w:r w:rsidR="00653DAE">
        <w:rPr>
          <w:bCs/>
          <w:iCs/>
        </w:rPr>
        <w:fldChar w:fldCharType="begin"/>
      </w:r>
      <w:r w:rsidR="00653DAE">
        <w:rPr>
          <w:bCs/>
          <w:iCs/>
        </w:rPr>
        <w:instrText xml:space="preserve"> REF _Ref503363311 \r \h </w:instrText>
      </w:r>
      <w:r w:rsidR="00653DAE">
        <w:rPr>
          <w:bCs/>
          <w:iCs/>
        </w:rPr>
      </w:r>
      <w:r w:rsidR="00653DAE">
        <w:rPr>
          <w:bCs/>
          <w:iCs/>
        </w:rPr>
        <w:fldChar w:fldCharType="separate"/>
      </w:r>
      <w:r w:rsidR="00AB2065">
        <w:rPr>
          <w:bCs/>
          <w:iCs/>
        </w:rPr>
        <w:t>[2]</w:t>
      </w:r>
      <w:r w:rsidR="00653DAE">
        <w:rPr>
          <w:bCs/>
          <w:iCs/>
        </w:rPr>
        <w:fldChar w:fldCharType="end"/>
      </w:r>
      <w:r w:rsidRPr="00EB2D5A">
        <w:rPr>
          <w:bCs/>
          <w:iCs/>
        </w:rPr>
        <w:t xml:space="preserve">. Given its shorter subframe durations these requirements need to </w:t>
      </w:r>
      <w:r w:rsidR="004014F6">
        <w:rPr>
          <w:bCs/>
          <w:iCs/>
        </w:rPr>
        <w:t xml:space="preserve">be </w:t>
      </w:r>
      <w:r w:rsidRPr="00EB2D5A">
        <w:rPr>
          <w:bCs/>
          <w:iCs/>
        </w:rPr>
        <w:t xml:space="preserve">revisited for NR. Several </w:t>
      </w:r>
      <w:r w:rsidR="004014F6">
        <w:rPr>
          <w:bCs/>
          <w:iCs/>
        </w:rPr>
        <w:t>contributions were</w:t>
      </w:r>
      <w:r w:rsidRPr="00EB2D5A">
        <w:rPr>
          <w:bCs/>
          <w:iCs/>
        </w:rPr>
        <w:t xml:space="preserve"> made contributions to this topic </w:t>
      </w:r>
      <w:r w:rsidR="004014F6">
        <w:rPr>
          <w:bCs/>
          <w:iCs/>
        </w:rPr>
        <w:fldChar w:fldCharType="begin"/>
      </w:r>
      <w:r w:rsidR="004014F6">
        <w:rPr>
          <w:bCs/>
          <w:iCs/>
        </w:rPr>
        <w:instrText xml:space="preserve"> REF _Ref503367547 \r \h </w:instrText>
      </w:r>
      <w:r w:rsidR="004014F6">
        <w:rPr>
          <w:bCs/>
          <w:iCs/>
        </w:rPr>
      </w:r>
      <w:r w:rsidR="004014F6">
        <w:rPr>
          <w:bCs/>
          <w:iCs/>
        </w:rPr>
        <w:fldChar w:fldCharType="separate"/>
      </w:r>
      <w:r w:rsidR="00AB2065">
        <w:rPr>
          <w:bCs/>
          <w:iCs/>
        </w:rPr>
        <w:t>[3]</w:t>
      </w:r>
      <w:r w:rsidR="004014F6">
        <w:rPr>
          <w:bCs/>
          <w:iCs/>
        </w:rPr>
        <w:fldChar w:fldCharType="end"/>
      </w:r>
      <w:r w:rsidR="004014F6">
        <w:rPr>
          <w:bCs/>
          <w:iCs/>
        </w:rPr>
        <w:fldChar w:fldCharType="begin"/>
      </w:r>
      <w:r w:rsidR="004014F6">
        <w:rPr>
          <w:bCs/>
          <w:iCs/>
        </w:rPr>
        <w:instrText xml:space="preserve"> REF _Ref503367549 \r \h </w:instrText>
      </w:r>
      <w:r w:rsidR="004014F6">
        <w:rPr>
          <w:bCs/>
          <w:iCs/>
        </w:rPr>
      </w:r>
      <w:r w:rsidR="004014F6">
        <w:rPr>
          <w:bCs/>
          <w:iCs/>
        </w:rPr>
        <w:fldChar w:fldCharType="separate"/>
      </w:r>
      <w:r w:rsidR="00AB2065">
        <w:rPr>
          <w:bCs/>
          <w:iCs/>
        </w:rPr>
        <w:t>[4]</w:t>
      </w:r>
      <w:r w:rsidR="004014F6">
        <w:rPr>
          <w:bCs/>
          <w:iCs/>
        </w:rPr>
        <w:fldChar w:fldCharType="end"/>
      </w:r>
      <w:r w:rsidR="004014F6">
        <w:rPr>
          <w:bCs/>
          <w:iCs/>
        </w:rPr>
        <w:fldChar w:fldCharType="begin"/>
      </w:r>
      <w:r w:rsidR="004014F6">
        <w:rPr>
          <w:bCs/>
          <w:iCs/>
        </w:rPr>
        <w:instrText xml:space="preserve"> REF _Ref503367551 \r \h </w:instrText>
      </w:r>
      <w:r w:rsidR="004014F6">
        <w:rPr>
          <w:bCs/>
          <w:iCs/>
        </w:rPr>
      </w:r>
      <w:r w:rsidR="004014F6">
        <w:rPr>
          <w:bCs/>
          <w:iCs/>
        </w:rPr>
        <w:fldChar w:fldCharType="separate"/>
      </w:r>
      <w:r w:rsidR="00AB2065">
        <w:rPr>
          <w:bCs/>
          <w:iCs/>
        </w:rPr>
        <w:t>[5]</w:t>
      </w:r>
      <w:r w:rsidR="004014F6">
        <w:rPr>
          <w:bCs/>
          <w:iCs/>
        </w:rPr>
        <w:fldChar w:fldCharType="end"/>
      </w:r>
      <w:r w:rsidRPr="00EB2D5A">
        <w:rPr>
          <w:bCs/>
          <w:iCs/>
        </w:rPr>
        <w:t>.</w:t>
      </w:r>
      <w:r w:rsidR="00DE4FED">
        <w:rPr>
          <w:bCs/>
          <w:iCs/>
        </w:rPr>
        <w:t xml:space="preserve"> </w:t>
      </w:r>
      <w:r w:rsidRPr="00EB2D5A">
        <w:rPr>
          <w:bCs/>
          <w:iCs/>
        </w:rPr>
        <w:t>Majority of the contributions propose</w:t>
      </w:r>
      <w:r w:rsidR="004014F6">
        <w:rPr>
          <w:bCs/>
          <w:iCs/>
        </w:rPr>
        <w:t>d</w:t>
      </w:r>
      <w:r w:rsidRPr="00EB2D5A">
        <w:rPr>
          <w:bCs/>
          <w:iCs/>
        </w:rPr>
        <w:t xml:space="preserve"> keeping the </w:t>
      </w:r>
      <w:r w:rsidR="004014F6">
        <w:rPr>
          <w:bCs/>
          <w:iCs/>
        </w:rPr>
        <w:t>NR</w:t>
      </w:r>
      <w:r w:rsidRPr="00EB2D5A">
        <w:rPr>
          <w:bCs/>
          <w:iCs/>
        </w:rPr>
        <w:t xml:space="preserve"> cell timing error limits </w:t>
      </w:r>
      <w:r w:rsidR="004014F6">
        <w:rPr>
          <w:bCs/>
          <w:iCs/>
        </w:rPr>
        <w:t>aligned</w:t>
      </w:r>
      <w:r w:rsidR="004014F6" w:rsidRPr="00EB2D5A">
        <w:rPr>
          <w:bCs/>
          <w:iCs/>
        </w:rPr>
        <w:t xml:space="preserve"> </w:t>
      </w:r>
      <w:r w:rsidRPr="00EB2D5A">
        <w:rPr>
          <w:bCs/>
          <w:iCs/>
        </w:rPr>
        <w:t xml:space="preserve">with the 4G eNBs. This choice </w:t>
      </w:r>
      <w:r w:rsidR="00377FA9">
        <w:rPr>
          <w:bCs/>
          <w:iCs/>
        </w:rPr>
        <w:t>seems to be</w:t>
      </w:r>
      <w:bookmarkStart w:id="1" w:name="_GoBack"/>
      <w:bookmarkEnd w:id="1"/>
      <w:r w:rsidRPr="00EB2D5A">
        <w:rPr>
          <w:bCs/>
          <w:iCs/>
        </w:rPr>
        <w:t xml:space="preserve"> primarily driven by a desire to continue using 4G eNBs as timing reference for the 5G gNBs as well. </w:t>
      </w:r>
    </w:p>
    <w:p w14:paraId="31D6745D" w14:textId="0BCE49AC" w:rsidR="00A53A85" w:rsidRDefault="00EB2D5A" w:rsidP="00EB2D5A">
      <w:pPr>
        <w:jc w:val="both"/>
        <w:rPr>
          <w:bCs/>
          <w:iCs/>
        </w:rPr>
      </w:pPr>
      <w:r w:rsidRPr="00EB2D5A">
        <w:rPr>
          <w:bCs/>
          <w:iCs/>
        </w:rPr>
        <w:t>It’s important to note that the cell timing error budget for a 5G network is a trade</w:t>
      </w:r>
      <w:r w:rsidR="004014F6">
        <w:rPr>
          <w:bCs/>
          <w:iCs/>
        </w:rPr>
        <w:t>-</w:t>
      </w:r>
      <w:r w:rsidRPr="00EB2D5A">
        <w:rPr>
          <w:bCs/>
          <w:iCs/>
        </w:rPr>
        <w:t>off amongst multiple system parameters such as the UE, gNB RF switch times, cell dimensions as well as the subcarrier spacing</w:t>
      </w:r>
      <w:r w:rsidR="004014F6">
        <w:rPr>
          <w:bCs/>
          <w:iCs/>
        </w:rPr>
        <w:t xml:space="preserve"> (SCS)</w:t>
      </w:r>
      <w:r w:rsidRPr="00EB2D5A">
        <w:rPr>
          <w:bCs/>
          <w:iCs/>
        </w:rPr>
        <w:t xml:space="preserve">. In order to keep the </w:t>
      </w:r>
      <w:r w:rsidR="004014F6">
        <w:rPr>
          <w:bCs/>
          <w:iCs/>
        </w:rPr>
        <w:t>NR</w:t>
      </w:r>
      <w:r w:rsidR="004014F6" w:rsidRPr="00EB2D5A">
        <w:rPr>
          <w:bCs/>
          <w:iCs/>
        </w:rPr>
        <w:t xml:space="preserve"> </w:t>
      </w:r>
      <w:r w:rsidRPr="00EB2D5A">
        <w:rPr>
          <w:bCs/>
          <w:iCs/>
        </w:rPr>
        <w:t xml:space="preserve">cell timing error cap in line with its 4G counterpart certain constraints need to be applied. </w:t>
      </w:r>
      <w:r w:rsidR="004014F6">
        <w:rPr>
          <w:bCs/>
          <w:iCs/>
        </w:rPr>
        <w:t>We believe that t</w:t>
      </w:r>
      <w:r w:rsidR="004014F6" w:rsidRPr="00EB2D5A">
        <w:rPr>
          <w:bCs/>
          <w:iCs/>
        </w:rPr>
        <w:t xml:space="preserve">his </w:t>
      </w:r>
      <w:r w:rsidRPr="00EB2D5A">
        <w:rPr>
          <w:bCs/>
          <w:iCs/>
        </w:rPr>
        <w:t xml:space="preserve">is something that was </w:t>
      </w:r>
      <w:r w:rsidR="004014F6">
        <w:rPr>
          <w:bCs/>
          <w:iCs/>
        </w:rPr>
        <w:t>not carefully addressed</w:t>
      </w:r>
      <w:r w:rsidR="004014F6" w:rsidRPr="00EB2D5A">
        <w:rPr>
          <w:bCs/>
          <w:iCs/>
        </w:rPr>
        <w:t xml:space="preserve"> </w:t>
      </w:r>
      <w:r w:rsidRPr="00EB2D5A">
        <w:rPr>
          <w:bCs/>
          <w:iCs/>
        </w:rPr>
        <w:t xml:space="preserve">in the previous proposals. </w:t>
      </w:r>
    </w:p>
    <w:p w14:paraId="0B3AEC47" w14:textId="65004B62" w:rsidR="0081223F" w:rsidRDefault="00EB2D5A" w:rsidP="00EB2D5A">
      <w:pPr>
        <w:jc w:val="both"/>
        <w:rPr>
          <w:bCs/>
          <w:iCs/>
        </w:rPr>
      </w:pPr>
      <w:r w:rsidRPr="00EB2D5A">
        <w:rPr>
          <w:bCs/>
          <w:iCs/>
        </w:rPr>
        <w:t xml:space="preserve">The goal of this </w:t>
      </w:r>
      <w:r w:rsidR="004014F6">
        <w:rPr>
          <w:bCs/>
          <w:iCs/>
        </w:rPr>
        <w:t>contribution</w:t>
      </w:r>
      <w:r w:rsidR="004014F6" w:rsidRPr="00EB2D5A">
        <w:rPr>
          <w:bCs/>
          <w:iCs/>
        </w:rPr>
        <w:t xml:space="preserve"> </w:t>
      </w:r>
      <w:r w:rsidRPr="00EB2D5A">
        <w:rPr>
          <w:bCs/>
          <w:iCs/>
        </w:rPr>
        <w:t xml:space="preserve">is </w:t>
      </w:r>
      <w:r w:rsidR="00ED32A7">
        <w:rPr>
          <w:bCs/>
          <w:iCs/>
        </w:rPr>
        <w:t xml:space="preserve">to </w:t>
      </w:r>
      <w:r w:rsidRPr="00EB2D5A">
        <w:rPr>
          <w:bCs/>
          <w:iCs/>
        </w:rPr>
        <w:t>provide a methodical breakdown of the factors that contribute to the timing error and explain the trade</w:t>
      </w:r>
      <w:r w:rsidR="004014F6">
        <w:rPr>
          <w:bCs/>
          <w:iCs/>
        </w:rPr>
        <w:t>-</w:t>
      </w:r>
      <w:r w:rsidRPr="00EB2D5A">
        <w:rPr>
          <w:bCs/>
          <w:iCs/>
        </w:rPr>
        <w:t xml:space="preserve">offs required to in order to keep the </w:t>
      </w:r>
      <w:r w:rsidR="004014F6">
        <w:rPr>
          <w:bCs/>
          <w:iCs/>
        </w:rPr>
        <w:t>NR</w:t>
      </w:r>
      <w:r w:rsidRPr="00EB2D5A">
        <w:rPr>
          <w:bCs/>
          <w:iCs/>
        </w:rPr>
        <w:t xml:space="preserve"> cell timing error in line with </w:t>
      </w:r>
      <w:r w:rsidR="00A53A85">
        <w:rPr>
          <w:bCs/>
          <w:iCs/>
        </w:rPr>
        <w:t>LTE</w:t>
      </w:r>
      <w:r w:rsidRPr="00EB2D5A">
        <w:rPr>
          <w:bCs/>
          <w:iCs/>
        </w:rPr>
        <w:t>.</w:t>
      </w:r>
    </w:p>
    <w:p w14:paraId="6E87271F" w14:textId="77777777" w:rsidR="00ED02BB" w:rsidRDefault="002B3AE6" w:rsidP="00ED02BB">
      <w:pPr>
        <w:pStyle w:val="Heading2"/>
        <w:rPr>
          <w:lang w:val="en-US"/>
        </w:rPr>
      </w:pPr>
      <w:bookmarkStart w:id="2" w:name="_Ref503453621"/>
      <w:r>
        <w:rPr>
          <w:lang w:val="en-US"/>
        </w:rPr>
        <w:t>Background info</w:t>
      </w:r>
      <w:bookmarkEnd w:id="2"/>
    </w:p>
    <w:p w14:paraId="51F4CD77" w14:textId="7217C690" w:rsidR="002B3AE6" w:rsidRDefault="002B3AE6" w:rsidP="008A5CE5">
      <w:pPr>
        <w:jc w:val="both"/>
      </w:pPr>
      <w:r w:rsidRPr="000F5BA1">
        <w:t>Consider</w:t>
      </w:r>
      <w:r>
        <w:t xml:space="preserve"> the generic TDD timing flow </w:t>
      </w:r>
      <w:r w:rsidRPr="00293A5C">
        <w:t>between</w:t>
      </w:r>
      <w:r>
        <w:t xml:space="preserve"> a BS and its UE</w:t>
      </w:r>
      <w:r w:rsidR="00A53A85">
        <w:t xml:space="preserve"> as shown in</w:t>
      </w:r>
      <w:r w:rsidR="00F81CAB">
        <w:t xml:space="preserve"> </w:t>
      </w:r>
      <w:r w:rsidR="00F81CAB">
        <w:fldChar w:fldCharType="begin"/>
      </w:r>
      <w:r w:rsidR="00F81CAB">
        <w:instrText xml:space="preserve"> REF _Ref504479867 \h </w:instrText>
      </w:r>
      <w:r w:rsidR="00F81CAB">
        <w:fldChar w:fldCharType="separate"/>
      </w:r>
      <w:r w:rsidR="00AB2065">
        <w:t xml:space="preserve">Figure </w:t>
      </w:r>
      <w:r w:rsidR="00AB2065">
        <w:rPr>
          <w:noProof/>
        </w:rPr>
        <w:t>1</w:t>
      </w:r>
      <w:r w:rsidR="00F81CAB">
        <w:fldChar w:fldCharType="end"/>
      </w:r>
      <w:r>
        <w:t xml:space="preserve">. This </w:t>
      </w:r>
      <w:r w:rsidR="00A53A85">
        <w:t>high-level</w:t>
      </w:r>
      <w:r>
        <w:t xml:space="preserve"> diagram is applicable to both the </w:t>
      </w:r>
      <w:r w:rsidR="00A53A85">
        <w:t xml:space="preserve">LTE </w:t>
      </w:r>
      <w:r>
        <w:t xml:space="preserve">and </w:t>
      </w:r>
      <w:r w:rsidR="004014F6">
        <w:t>NR</w:t>
      </w:r>
      <w:r>
        <w:t xml:space="preserve"> based air interfaces. The propagation delay between the i</w:t>
      </w:r>
      <w:r w:rsidRPr="005F66E0">
        <w:rPr>
          <w:sz w:val="24"/>
          <w:vertAlign w:val="superscript"/>
        </w:rPr>
        <w:t>th</w:t>
      </w:r>
      <w:r>
        <w:t xml:space="preserve"> UE and its serving BS is assumed to be T</w:t>
      </w:r>
      <w:r w:rsidRPr="00E254F1">
        <w:rPr>
          <w:sz w:val="26"/>
          <w:vertAlign w:val="subscript"/>
        </w:rPr>
        <w:t>p</w:t>
      </w:r>
      <w:r>
        <w:t>(i). In the figure G</w:t>
      </w:r>
      <w:r w:rsidRPr="005D753E">
        <w:rPr>
          <w:sz w:val="24"/>
          <w:vertAlign w:val="subscript"/>
        </w:rPr>
        <w:t>1</w:t>
      </w:r>
      <w:r>
        <w:t xml:space="preserve"> and G</w:t>
      </w:r>
      <w:r>
        <w:rPr>
          <w:sz w:val="24"/>
          <w:vertAlign w:val="subscript"/>
        </w:rPr>
        <w:t xml:space="preserve">2 </w:t>
      </w:r>
      <w:r>
        <w:t>represent the BS DL</w:t>
      </w:r>
      <w:r>
        <w:sym w:font="Wingdings 3" w:char="F022"/>
      </w:r>
      <w:r>
        <w:t>UL and UL</w:t>
      </w:r>
      <w:r>
        <w:sym w:font="Wingdings 3" w:char="F022"/>
      </w:r>
      <w:r>
        <w:t>DL switch gaps, respectively. The variables G</w:t>
      </w:r>
      <w:r>
        <w:rPr>
          <w:sz w:val="24"/>
          <w:vertAlign w:val="subscript"/>
        </w:rPr>
        <w:t>3</w:t>
      </w:r>
      <w:r>
        <w:t xml:space="preserve"> and G</w:t>
      </w:r>
      <w:r>
        <w:rPr>
          <w:sz w:val="24"/>
          <w:vertAlign w:val="subscript"/>
        </w:rPr>
        <w:t xml:space="preserve">4 </w:t>
      </w:r>
      <w:r>
        <w:t>play a similar role for the UE.</w:t>
      </w:r>
    </w:p>
    <w:p w14:paraId="377B3C27" w14:textId="72812AB8" w:rsidR="002B3AE6" w:rsidRDefault="002B3AE6" w:rsidP="008A5CE5">
      <w:pPr>
        <w:jc w:val="both"/>
      </w:pPr>
      <w:r>
        <w:t>In order for the UL signals from all UEs to arrive at their BSs at the same time, each UE needs to start transmitting T</w:t>
      </w:r>
      <w:r w:rsidRPr="008A5CE5">
        <w:rPr>
          <w:vertAlign w:val="subscript"/>
        </w:rPr>
        <w:t>a</w:t>
      </w:r>
      <w:r>
        <w:t>(i)</w:t>
      </w:r>
      <w:r w:rsidR="00DE4FED">
        <w:t xml:space="preserve"> </w:t>
      </w:r>
      <w:r>
        <w:t>(</w:t>
      </w:r>
      <w:r w:rsidRPr="005F66E0">
        <w:rPr>
          <w:rFonts w:ascii="Symbol" w:hAnsi="Symbol"/>
        </w:rPr>
        <w:t></w:t>
      </w:r>
      <w:r>
        <w:t>s) in advance of the BS subframe boundary (</w:t>
      </w:r>
      <w:r w:rsidRPr="00896C57">
        <w:t>identified by the dashed purple line in the figure</w:t>
      </w:r>
      <w:r>
        <w:t>). Setting T</w:t>
      </w:r>
      <w:r w:rsidRPr="008A5CE5">
        <w:rPr>
          <w:vertAlign w:val="subscript"/>
        </w:rPr>
        <w:t>a</w:t>
      </w:r>
      <w:r>
        <w:t>(i) = T</w:t>
      </w:r>
      <w:r w:rsidRPr="00142330">
        <w:rPr>
          <w:sz w:val="24"/>
          <w:vertAlign w:val="subscript"/>
        </w:rPr>
        <w:t>p</w:t>
      </w:r>
      <w:r>
        <w:t>(i)</w:t>
      </w:r>
      <w:r w:rsidR="00DE4FED">
        <w:t xml:space="preserve"> </w:t>
      </w:r>
      <w:r w:rsidRPr="00350F88">
        <w:t>would</w:t>
      </w:r>
      <w:r>
        <w:t xml:space="preserve"> clearly satisfy the subframe alignment condition, </w:t>
      </w:r>
      <w:r w:rsidRPr="00E427E8">
        <w:t>however</w:t>
      </w:r>
      <w:r>
        <w:t xml:space="preserve"> this is not adequate to </w:t>
      </w:r>
      <w:r w:rsidR="00D77720">
        <w:t>fulfil</w:t>
      </w:r>
      <w:r>
        <w:t xml:space="preserve"> some of the RF switch requirements. To see why, one needs to focus on the UL</w:t>
      </w:r>
      <w:r>
        <w:sym w:font="Wingdings 3" w:char="F022"/>
      </w:r>
      <w:r>
        <w:t xml:space="preserve">DL switch gap. </w:t>
      </w:r>
      <w:r w:rsidR="00D77720">
        <w:t>If you c</w:t>
      </w:r>
      <w:r>
        <w:t>onsider a UE that is adjacent to its BS (i.e. T</w:t>
      </w:r>
      <w:r w:rsidRPr="008A5CE5">
        <w:rPr>
          <w:vertAlign w:val="subscript"/>
        </w:rPr>
        <w:t>p</w:t>
      </w:r>
      <w:r>
        <w:t xml:space="preserve">(i) </w:t>
      </w:r>
      <w:r w:rsidRPr="00136C1F">
        <w:rPr>
          <w:rFonts w:asciiTheme="minorHAnsi" w:hAnsiTheme="minorHAnsi" w:cstheme="minorHAnsi"/>
          <w:szCs w:val="26"/>
        </w:rPr>
        <w:t>≈</w:t>
      </w:r>
      <w:r w:rsidRPr="00136C1F">
        <w:t xml:space="preserve"> </w:t>
      </w:r>
      <w:r>
        <w:t>0).</w:t>
      </w:r>
      <w:r w:rsidR="00DE4FED">
        <w:t xml:space="preserve"> </w:t>
      </w:r>
      <w:r>
        <w:t>Setting T</w:t>
      </w:r>
      <w:r w:rsidRPr="008A5CE5">
        <w:rPr>
          <w:vertAlign w:val="subscript"/>
        </w:rPr>
        <w:t>a</w:t>
      </w:r>
      <w:r>
        <w:t>(i) = T</w:t>
      </w:r>
      <w:r w:rsidRPr="008A5CE5">
        <w:rPr>
          <w:vertAlign w:val="subscript"/>
        </w:rPr>
        <w:t>p</w:t>
      </w:r>
      <w:r>
        <w:t>(i) would leave practically no time for the BS and its UEs to switch from UL</w:t>
      </w:r>
      <w:r>
        <w:sym w:font="Wingdings 3" w:char="F022"/>
      </w:r>
      <w:r>
        <w:t>DL. To circumvent this issue, 3GPP has introduced a fixed timing offset TA</w:t>
      </w:r>
      <w:r w:rsidRPr="00A12A07">
        <w:rPr>
          <w:sz w:val="26"/>
          <w:vertAlign w:val="subscript"/>
        </w:rPr>
        <w:t>offset</w:t>
      </w:r>
      <w:r>
        <w:t xml:space="preserve"> of 20</w:t>
      </w:r>
      <w:r w:rsidRPr="00D00B41">
        <w:rPr>
          <w:rFonts w:ascii="Symbol" w:hAnsi="Symbol"/>
        </w:rPr>
        <w:t></w:t>
      </w:r>
      <w:r>
        <w:t>s for all LTE UEs in</w:t>
      </w:r>
      <w:r w:rsidR="00CA0096">
        <w:rPr>
          <w:rFonts w:ascii="Calibri" w:hAnsi="Calibri" w:cs="Calibri"/>
          <w:szCs w:val="22"/>
        </w:rPr>
        <w:t xml:space="preserve"> </w:t>
      </w:r>
      <w:r w:rsidR="00CA0096">
        <w:rPr>
          <w:rFonts w:ascii="Calibri" w:hAnsi="Calibri" w:cs="Calibri"/>
          <w:szCs w:val="22"/>
        </w:rPr>
        <w:fldChar w:fldCharType="begin"/>
      </w:r>
      <w:r w:rsidR="00CA0096">
        <w:rPr>
          <w:rFonts w:ascii="Calibri" w:hAnsi="Calibri" w:cs="Calibri"/>
          <w:szCs w:val="22"/>
        </w:rPr>
        <w:instrText xml:space="preserve"> REF _Ref503369283 \r \h </w:instrText>
      </w:r>
      <w:r w:rsidR="001B6C66">
        <w:rPr>
          <w:rFonts w:ascii="Calibri" w:hAnsi="Calibri" w:cs="Calibri"/>
          <w:szCs w:val="22"/>
        </w:rPr>
        <w:instrText xml:space="preserve"> \* MERGEFORMAT </w:instrText>
      </w:r>
      <w:r w:rsidR="00CA0096">
        <w:rPr>
          <w:rFonts w:ascii="Calibri" w:hAnsi="Calibri" w:cs="Calibri"/>
          <w:szCs w:val="22"/>
        </w:rPr>
      </w:r>
      <w:r w:rsidR="00CA0096">
        <w:rPr>
          <w:rFonts w:ascii="Calibri" w:hAnsi="Calibri" w:cs="Calibri"/>
          <w:szCs w:val="22"/>
        </w:rPr>
        <w:fldChar w:fldCharType="separate"/>
      </w:r>
      <w:r w:rsidR="00AB2065">
        <w:rPr>
          <w:rFonts w:ascii="Calibri" w:hAnsi="Calibri" w:cs="Calibri"/>
          <w:szCs w:val="22"/>
        </w:rPr>
        <w:t>[6]</w:t>
      </w:r>
      <w:r w:rsidR="00CA0096">
        <w:rPr>
          <w:rFonts w:ascii="Calibri" w:hAnsi="Calibri" w:cs="Calibri"/>
          <w:szCs w:val="22"/>
        </w:rPr>
        <w:fldChar w:fldCharType="end"/>
      </w:r>
      <w:r>
        <w:rPr>
          <w:rFonts w:ascii="Calibri" w:hAnsi="Calibri" w:cs="Calibri"/>
          <w:szCs w:val="22"/>
        </w:rPr>
        <w:t xml:space="preserve">. </w:t>
      </w:r>
      <w:r>
        <w:t>With this, the timing offset T</w:t>
      </w:r>
      <w:r w:rsidRPr="008A5CE5">
        <w:rPr>
          <w:vertAlign w:val="subscript"/>
        </w:rPr>
        <w:t>a</w:t>
      </w:r>
      <w:r>
        <w:t>(i) has two components, one variable and one fixed, i.e.</w:t>
      </w:r>
    </w:p>
    <w:p w14:paraId="0DBF698E" w14:textId="689DE031" w:rsidR="002B3AE6" w:rsidRPr="0065649B" w:rsidRDefault="002B3AE6" w:rsidP="008A5CE5">
      <w:pPr>
        <w:jc w:val="both"/>
        <w:rPr>
          <w:vanish/>
          <w:specVanish/>
        </w:rPr>
      </w:pPr>
      <w:r>
        <w:tab/>
      </w:r>
      <m:oMath>
        <m:sSub>
          <m:sSubPr>
            <m:ctrlPr>
              <w:rPr>
                <w:rFonts w:ascii="Cambria Math" w:hAnsi="Cambria Math"/>
                <w:i/>
              </w:rPr>
            </m:ctrlPr>
          </m:sSubPr>
          <m:e>
            <m:r>
              <w:rPr>
                <w:rFonts w:ascii="Cambria Math" w:hAnsi="Cambria Math"/>
              </w:rPr>
              <m:t>T</m:t>
            </m:r>
          </m:e>
          <m:sub>
            <m:r>
              <w:rPr>
                <w:rFonts w:ascii="Cambria Math" w:hAnsi="Cambria Math"/>
              </w:rPr>
              <m:t xml:space="preserve">a </m:t>
            </m:r>
          </m:sub>
        </m:sSub>
        <m:r>
          <m:rPr>
            <m:sty m:val="p"/>
          </m:rPr>
          <w:rPr>
            <w:rFonts w:ascii="Cambria Math" w:hAnsi="Cambria Math"/>
          </w:rPr>
          <m:t>(i)=</m:t>
        </m:r>
        <m:sSub>
          <m:sSubPr>
            <m:ctrlPr>
              <w:rPr>
                <w:rFonts w:ascii="Cambria Math" w:hAnsi="Cambria Math"/>
                <w:i/>
              </w:rPr>
            </m:ctrlPr>
          </m:sSubPr>
          <m:e>
            <m:r>
              <w:rPr>
                <w:rFonts w:ascii="Cambria Math" w:hAnsi="Cambria Math"/>
              </w:rPr>
              <m:t>T</m:t>
            </m:r>
            <m:ctrlPr>
              <w:rPr>
                <w:rFonts w:ascii="Cambria Math" w:hAnsi="Cambria Math"/>
              </w:rPr>
            </m:ctrlPr>
          </m:e>
          <m:sub>
            <m:r>
              <w:rPr>
                <w:rFonts w:ascii="Cambria Math" w:hAnsi="Cambria Math"/>
              </w:rPr>
              <m:t>p</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TA</m:t>
            </m:r>
          </m:e>
          <m:sub>
            <m:r>
              <w:rPr>
                <w:rFonts w:ascii="Cambria Math" w:hAnsi="Cambria Math"/>
              </w:rPr>
              <m:t>offset</m:t>
            </m:r>
          </m:sub>
        </m:sSub>
      </m:oMath>
      <w:r>
        <w:tab/>
      </w:r>
      <w:r>
        <w:tab/>
      </w:r>
    </w:p>
    <w:p w14:paraId="034127B5" w14:textId="15D001F3" w:rsidR="002B3AE6" w:rsidRPr="00CE2771" w:rsidRDefault="002B3AE6" w:rsidP="001B6C66">
      <w:pPr>
        <w:jc w:val="both"/>
      </w:pPr>
      <w:r>
        <w:t xml:space="preserve"> (</w:t>
      </w:r>
      <w:r>
        <w:fldChar w:fldCharType="begin"/>
      </w:r>
      <w:r>
        <w:instrText xml:space="preserve"> STYLEREF 1 \s </w:instrText>
      </w:r>
      <w:r>
        <w:fldChar w:fldCharType="separate"/>
      </w:r>
      <w:r w:rsidR="00AB2065">
        <w:rPr>
          <w:noProof/>
        </w:rPr>
        <w:t>2</w:t>
      </w:r>
      <w:r>
        <w:rPr>
          <w:noProof/>
        </w:rPr>
        <w:fldChar w:fldCharType="end"/>
      </w:r>
      <w:r>
        <w:t>-</w:t>
      </w:r>
      <w:r>
        <w:fldChar w:fldCharType="begin"/>
      </w:r>
      <w:r>
        <w:instrText xml:space="preserve"> SEQ Equation \* ARABIC \s 1 </w:instrText>
      </w:r>
      <w:r>
        <w:fldChar w:fldCharType="separate"/>
      </w:r>
      <w:r w:rsidR="00AB2065">
        <w:rPr>
          <w:noProof/>
        </w:rPr>
        <w:t>1</w:t>
      </w:r>
      <w:r>
        <w:rPr>
          <w:noProof/>
        </w:rPr>
        <w:fldChar w:fldCharType="end"/>
      </w:r>
      <w:r>
        <w:t>)</w:t>
      </w:r>
    </w:p>
    <w:p w14:paraId="759D0A4A" w14:textId="77777777" w:rsidR="002B3AE6" w:rsidRDefault="002B3AE6" w:rsidP="008A5CE5">
      <w:pPr>
        <w:jc w:val="both"/>
      </w:pPr>
      <w:bookmarkStart w:id="3" w:name="_Ref495056979"/>
      <w:r>
        <w:lastRenderedPageBreak/>
        <w:t>At the BS, the above ensures a fixed gap of G</w:t>
      </w:r>
      <w:r w:rsidRPr="00C41219">
        <w:rPr>
          <w:vertAlign w:val="subscript"/>
        </w:rPr>
        <w:t>2</w:t>
      </w:r>
      <w:r>
        <w:t xml:space="preserve"> = TA</w:t>
      </w:r>
      <w:r w:rsidRPr="00912C53">
        <w:rPr>
          <w:vertAlign w:val="subscript"/>
        </w:rPr>
        <w:t>offset</w:t>
      </w:r>
      <w:r>
        <w:t xml:space="preserve"> between the end of the received UL SF and the beginning of the DL SF. Depending on the UE distance to BS, G</w:t>
      </w:r>
      <w:r w:rsidRPr="002F5E97">
        <w:rPr>
          <w:sz w:val="24"/>
          <w:vertAlign w:val="subscript"/>
        </w:rPr>
        <w:t>4</w:t>
      </w:r>
      <w:r>
        <w:t>(i) may be longer.</w:t>
      </w:r>
    </w:p>
    <w:p w14:paraId="51A34473" w14:textId="77777777" w:rsidR="00C303E4" w:rsidRDefault="002B3AE6" w:rsidP="008A5CE5">
      <w:pPr>
        <w:keepNext/>
        <w:jc w:val="both"/>
      </w:pPr>
      <w:r>
        <w:rPr>
          <w:noProof/>
        </w:rPr>
        <w:drawing>
          <wp:inline distT="0" distB="0" distL="0" distR="0" wp14:anchorId="30E87425" wp14:editId="60BC866E">
            <wp:extent cx="5859287" cy="2484966"/>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0502" cy="2502445"/>
                    </a:xfrm>
                    <a:prstGeom prst="rect">
                      <a:avLst/>
                    </a:prstGeom>
                  </pic:spPr>
                </pic:pic>
              </a:graphicData>
            </a:graphic>
          </wp:inline>
        </w:drawing>
      </w:r>
    </w:p>
    <w:p w14:paraId="24A0BA4A" w14:textId="4E054D56" w:rsidR="004014F6" w:rsidRDefault="00C303E4" w:rsidP="008A5CE5">
      <w:pPr>
        <w:pStyle w:val="Caption"/>
        <w:jc w:val="center"/>
      </w:pPr>
      <w:bookmarkStart w:id="4" w:name="_Ref504479867"/>
      <w:r>
        <w:t xml:space="preserve">Figure </w:t>
      </w:r>
      <w:r>
        <w:fldChar w:fldCharType="begin"/>
      </w:r>
      <w:r>
        <w:instrText xml:space="preserve"> SEQ Figure \* ARABIC </w:instrText>
      </w:r>
      <w:r>
        <w:fldChar w:fldCharType="separate"/>
      </w:r>
      <w:r w:rsidR="00AB2065">
        <w:rPr>
          <w:noProof/>
        </w:rPr>
        <w:t>1</w:t>
      </w:r>
      <w:r>
        <w:fldChar w:fldCharType="end"/>
      </w:r>
      <w:bookmarkEnd w:id="4"/>
      <w:r>
        <w:t xml:space="preserve">. </w:t>
      </w:r>
      <w:r w:rsidRPr="00BB0635">
        <w:t>TDD timing flow</w:t>
      </w:r>
      <w:r>
        <w:t>.</w:t>
      </w:r>
    </w:p>
    <w:bookmarkEnd w:id="3"/>
    <w:p w14:paraId="0A433A25" w14:textId="439C636A" w:rsidR="002B3AE6" w:rsidRDefault="00823BE2" w:rsidP="008A5CE5">
      <w:pPr>
        <w:jc w:val="both"/>
      </w:pPr>
      <w:r>
        <w:rPr>
          <w:lang w:val="en-US"/>
        </w:rPr>
        <w:t xml:space="preserve">It is worth noticing that for NR </w:t>
      </w:r>
      <w:r w:rsidR="002B3AE6">
        <w:rPr>
          <w:lang w:eastAsia="ja-JP"/>
        </w:rPr>
        <w:t>3GPP has not provided guidelines for the TA</w:t>
      </w:r>
      <w:r w:rsidR="002B3AE6" w:rsidRPr="0051122D">
        <w:rPr>
          <w:sz w:val="26"/>
          <w:vertAlign w:val="subscript"/>
          <w:lang w:eastAsia="ja-JP"/>
        </w:rPr>
        <w:t>offset</w:t>
      </w:r>
      <w:r w:rsidR="002B3AE6">
        <w:rPr>
          <w:lang w:eastAsia="ja-JP"/>
        </w:rPr>
        <w:t>, yet. One of the goals of this document is to provide feedback on this issue. Referring back to</w:t>
      </w:r>
      <w:r w:rsidR="00F81CAB">
        <w:rPr>
          <w:lang w:eastAsia="ja-JP"/>
        </w:rPr>
        <w:t xml:space="preserve"> </w:t>
      </w:r>
      <w:r w:rsidR="00F81CAB">
        <w:rPr>
          <w:lang w:eastAsia="ja-JP"/>
        </w:rPr>
        <w:fldChar w:fldCharType="begin"/>
      </w:r>
      <w:r w:rsidR="00F81CAB">
        <w:rPr>
          <w:lang w:eastAsia="ja-JP"/>
        </w:rPr>
        <w:instrText xml:space="preserve"> REF _Ref504479867 \h </w:instrText>
      </w:r>
      <w:r w:rsidR="00F81CAB">
        <w:rPr>
          <w:lang w:eastAsia="ja-JP"/>
        </w:rPr>
      </w:r>
      <w:r w:rsidR="00F81CAB">
        <w:rPr>
          <w:lang w:eastAsia="ja-JP"/>
        </w:rPr>
        <w:fldChar w:fldCharType="separate"/>
      </w:r>
      <w:r w:rsidR="00AB2065">
        <w:t xml:space="preserve">Figure </w:t>
      </w:r>
      <w:r w:rsidR="00AB2065">
        <w:rPr>
          <w:noProof/>
        </w:rPr>
        <w:t>1</w:t>
      </w:r>
      <w:r w:rsidR="00F81CAB">
        <w:rPr>
          <w:lang w:eastAsia="ja-JP"/>
        </w:rPr>
        <w:fldChar w:fldCharType="end"/>
      </w:r>
      <w:r w:rsidR="00F81CAB">
        <w:rPr>
          <w:lang w:eastAsia="ja-JP"/>
        </w:rPr>
        <w:t>:</w:t>
      </w:r>
      <w:r w:rsidR="002B3AE6">
        <w:rPr>
          <w:lang w:eastAsia="ja-JP"/>
        </w:rPr>
        <w:t xml:space="preserve"> </w:t>
      </w:r>
    </w:p>
    <w:p w14:paraId="501A6466" w14:textId="77777777" w:rsidR="002B3AE6" w:rsidRPr="0019015C" w:rsidRDefault="002B3AE6" w:rsidP="008A5CE5">
      <w:pPr>
        <w:jc w:val="both"/>
        <w:rPr>
          <w:vanish/>
          <w:specVanish/>
        </w:rPr>
      </w:pPr>
      <w:r>
        <w:tab/>
      </w:r>
      <m:oMath>
        <m:sSub>
          <m:sSubPr>
            <m:ctrlPr>
              <w:rPr>
                <w:rFonts w:ascii="Cambria Math" w:hAnsi="Cambria Math"/>
              </w:rPr>
            </m:ctrlPr>
          </m:sSubPr>
          <m:e>
            <m:r>
              <w:rPr>
                <w:rFonts w:ascii="Cambria Math" w:hAnsi="Cambria Math"/>
              </w:rPr>
              <m:t>G</m:t>
            </m:r>
          </m:e>
          <m:sub>
            <m:r>
              <m:rPr>
                <m:sty m:val="p"/>
              </m:rPr>
              <w:rPr>
                <w:rFonts w:ascii="Cambria Math" w:hAnsi="Cambria Math"/>
              </w:rPr>
              <m:t>3</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1</m:t>
            </m:r>
          </m:sub>
        </m:sSub>
        <m:r>
          <m:rPr>
            <m:sty m:val="p"/>
          </m:rPr>
          <w:rPr>
            <w:rFonts w:ascii="Cambria Math" w:hAnsi="Cambria Math"/>
          </w:rPr>
          <m:t xml:space="preserve">-2 </m:t>
        </m:r>
        <m:sSub>
          <m:sSubPr>
            <m:ctrlPr>
              <w:rPr>
                <w:rFonts w:ascii="Cambria Math" w:hAnsi="Cambria Math"/>
              </w:rPr>
            </m:ctrlPr>
          </m:sSubPr>
          <m:e>
            <m:r>
              <w:rPr>
                <w:rFonts w:ascii="Cambria Math" w:hAnsi="Cambria Math"/>
              </w:rPr>
              <m:t>T</m:t>
            </m:r>
          </m:e>
          <m:sub>
            <m:r>
              <w:rPr>
                <w:rFonts w:ascii="Cambria Math" w:hAnsi="Cambria Math"/>
              </w:rPr>
              <m:t>p</m:t>
            </m:r>
          </m:sub>
        </m:sSub>
        <m:r>
          <m:rPr>
            <m:sty m:val="p"/>
          </m:rPr>
          <w:rPr>
            <w:rFonts w:ascii="Cambria Math" w:hAnsi="Cambria Math"/>
          </w:rPr>
          <m:t>(</m:t>
        </m:r>
        <m:r>
          <w:rPr>
            <w:rFonts w:ascii="Cambria Math" w:hAnsi="Cambria Math"/>
          </w:rPr>
          <m:t>i</m:t>
        </m:r>
        <m:r>
          <m:rPr>
            <m:sty m:val="p"/>
          </m:rPr>
          <w:rPr>
            <w:rFonts w:ascii="Cambria Math" w:hAnsi="Cambria Math"/>
          </w:rPr>
          <m:t>)</m:t>
        </m:r>
      </m:oMath>
      <w:r>
        <w:tab/>
      </w:r>
      <w:r>
        <w:tab/>
      </w:r>
    </w:p>
    <w:p w14:paraId="1F8A776C" w14:textId="793CC8B9" w:rsidR="002B3AE6" w:rsidRDefault="002B3AE6" w:rsidP="00C303E4">
      <w:pPr>
        <w:jc w:val="both"/>
      </w:pPr>
      <w:r>
        <w:t xml:space="preserve"> (</w:t>
      </w:r>
      <w:r>
        <w:fldChar w:fldCharType="begin"/>
      </w:r>
      <w:r>
        <w:instrText xml:space="preserve"> STYLEREF 1 \s </w:instrText>
      </w:r>
      <w:r>
        <w:fldChar w:fldCharType="separate"/>
      </w:r>
      <w:r w:rsidR="00AB2065">
        <w:rPr>
          <w:noProof/>
        </w:rPr>
        <w:t>2</w:t>
      </w:r>
      <w:r>
        <w:rPr>
          <w:noProof/>
        </w:rPr>
        <w:fldChar w:fldCharType="end"/>
      </w:r>
      <w:r>
        <w:t>-</w:t>
      </w:r>
      <w:r>
        <w:fldChar w:fldCharType="begin"/>
      </w:r>
      <w:r>
        <w:instrText xml:space="preserve"> SEQ Equation \* ARABIC \s 1 </w:instrText>
      </w:r>
      <w:r>
        <w:fldChar w:fldCharType="separate"/>
      </w:r>
      <w:r w:rsidR="00AB2065">
        <w:rPr>
          <w:noProof/>
        </w:rPr>
        <w:t>2</w:t>
      </w:r>
      <w:r>
        <w:rPr>
          <w:noProof/>
        </w:rPr>
        <w:fldChar w:fldCharType="end"/>
      </w:r>
      <w:r>
        <w:t>)</w:t>
      </w:r>
    </w:p>
    <w:p w14:paraId="1E141FF6" w14:textId="77777777" w:rsidR="002B3AE6" w:rsidRPr="000506EA" w:rsidRDefault="002B3AE6" w:rsidP="008A5CE5">
      <w:pPr>
        <w:jc w:val="both"/>
        <w:rPr>
          <w:vanish/>
          <w:specVanish/>
        </w:rPr>
      </w:pPr>
      <w:r>
        <w:tab/>
      </w:r>
      <m:oMath>
        <m:sSub>
          <m:sSubPr>
            <m:ctrlPr>
              <w:rPr>
                <w:rFonts w:ascii="Cambria Math" w:hAnsi="Cambria Math"/>
              </w:rPr>
            </m:ctrlPr>
          </m:sSubPr>
          <m:e>
            <m:r>
              <w:rPr>
                <w:rFonts w:ascii="Cambria Math" w:hAnsi="Cambria Math"/>
              </w:rPr>
              <m:t>G</m:t>
            </m:r>
          </m:e>
          <m:sub>
            <m:r>
              <m:rPr>
                <m:sty m:val="p"/>
              </m:rPr>
              <w:rPr>
                <w:rFonts w:ascii="Cambria Math" w:hAnsi="Cambria Math"/>
              </w:rPr>
              <m:t>4</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2</m:t>
            </m:r>
          </m:sub>
        </m:sSub>
        <m:r>
          <m:rPr>
            <m:sty m:val="p"/>
          </m:rPr>
          <w:rPr>
            <w:rFonts w:ascii="Cambria Math" w:hAnsi="Cambria Math"/>
          </w:rPr>
          <m:t xml:space="preserve">+2 </m:t>
        </m:r>
        <m:sSub>
          <m:sSubPr>
            <m:ctrlPr>
              <w:rPr>
                <w:rFonts w:ascii="Cambria Math" w:hAnsi="Cambria Math"/>
              </w:rPr>
            </m:ctrlPr>
          </m:sSubPr>
          <m:e>
            <m:r>
              <w:rPr>
                <w:rFonts w:ascii="Cambria Math" w:hAnsi="Cambria Math"/>
              </w:rPr>
              <m:t>T</m:t>
            </m:r>
          </m:e>
          <m:sub>
            <m:r>
              <w:rPr>
                <w:rFonts w:ascii="Cambria Math" w:hAnsi="Cambria Math"/>
              </w:rPr>
              <m:t>p</m:t>
            </m:r>
          </m:sub>
        </m:sSub>
        <m:r>
          <m:rPr>
            <m:sty m:val="p"/>
          </m:rPr>
          <w:rPr>
            <w:rFonts w:ascii="Cambria Math" w:hAnsi="Cambria Math"/>
          </w:rPr>
          <m:t>(</m:t>
        </m:r>
        <m:r>
          <w:rPr>
            <w:rFonts w:ascii="Cambria Math" w:hAnsi="Cambria Math"/>
          </w:rPr>
          <m:t>i</m:t>
        </m:r>
        <m:r>
          <m:rPr>
            <m:sty m:val="p"/>
          </m:rPr>
          <w:rPr>
            <w:rFonts w:ascii="Cambria Math" w:hAnsi="Cambria Math"/>
          </w:rPr>
          <m:t>)</m:t>
        </m:r>
      </m:oMath>
      <w:r>
        <w:tab/>
      </w:r>
      <w:r>
        <w:tab/>
      </w:r>
    </w:p>
    <w:p w14:paraId="051ADCEA" w14:textId="67002D99" w:rsidR="002B3AE6" w:rsidRDefault="002B3AE6" w:rsidP="00C303E4">
      <w:pPr>
        <w:jc w:val="both"/>
      </w:pPr>
      <w:r>
        <w:t xml:space="preserve"> (</w:t>
      </w:r>
      <w:r>
        <w:fldChar w:fldCharType="begin"/>
      </w:r>
      <w:r>
        <w:instrText xml:space="preserve"> STYLEREF 1 \s </w:instrText>
      </w:r>
      <w:r>
        <w:fldChar w:fldCharType="separate"/>
      </w:r>
      <w:r w:rsidR="00AB2065">
        <w:rPr>
          <w:noProof/>
        </w:rPr>
        <w:t>2</w:t>
      </w:r>
      <w:r>
        <w:rPr>
          <w:noProof/>
        </w:rPr>
        <w:fldChar w:fldCharType="end"/>
      </w:r>
      <w:r>
        <w:t>-</w:t>
      </w:r>
      <w:r>
        <w:fldChar w:fldCharType="begin"/>
      </w:r>
      <w:r>
        <w:instrText xml:space="preserve"> SEQ Equation \* ARABIC \s 1 </w:instrText>
      </w:r>
      <w:r>
        <w:fldChar w:fldCharType="separate"/>
      </w:r>
      <w:r w:rsidR="00AB2065">
        <w:rPr>
          <w:noProof/>
        </w:rPr>
        <w:t>3</w:t>
      </w:r>
      <w:r>
        <w:rPr>
          <w:noProof/>
        </w:rPr>
        <w:fldChar w:fldCharType="end"/>
      </w:r>
      <w:r>
        <w:t>)</w:t>
      </w:r>
    </w:p>
    <w:p w14:paraId="7299A77D" w14:textId="25DB10E4" w:rsidR="002B3AE6" w:rsidRDefault="002B3AE6" w:rsidP="008A5CE5">
      <w:pPr>
        <w:jc w:val="both"/>
      </w:pPr>
      <w:r>
        <w:t>As explained in the previous section, G</w:t>
      </w:r>
      <w:r w:rsidRPr="004A2A89">
        <w:rPr>
          <w:sz w:val="24"/>
          <w:vertAlign w:val="subscript"/>
        </w:rPr>
        <w:t>2</w:t>
      </w:r>
      <w:r>
        <w:t xml:space="preserve"> = TA</w:t>
      </w:r>
      <w:r w:rsidRPr="00934DA7">
        <w:rPr>
          <w:sz w:val="26"/>
          <w:vertAlign w:val="subscript"/>
        </w:rPr>
        <w:t>offset</w:t>
      </w:r>
      <w:r>
        <w:t xml:space="preserve"> and should be specified by the standard. The shortest UL</w:t>
      </w:r>
      <w:r>
        <w:sym w:font="Wingdings 3" w:char="F022"/>
      </w:r>
      <w:r>
        <w:t>DL switch time (i.e. min G</w:t>
      </w:r>
      <w:r w:rsidRPr="00E75519">
        <w:rPr>
          <w:sz w:val="24"/>
          <w:vertAlign w:val="subscript"/>
        </w:rPr>
        <w:t>3</w:t>
      </w:r>
      <w:r>
        <w:t>) occurs when the UE is at the cell edge, i.e. T</w:t>
      </w:r>
      <w:r w:rsidRPr="00E75519">
        <w:rPr>
          <w:sz w:val="24"/>
          <w:vertAlign w:val="subscript"/>
        </w:rPr>
        <w:t>p</w:t>
      </w:r>
      <w:r>
        <w:t xml:space="preserve"> = T</w:t>
      </w:r>
      <w:r w:rsidRPr="00E75519">
        <w:rPr>
          <w:sz w:val="26"/>
          <w:vertAlign w:val="subscript"/>
        </w:rPr>
        <w:t>cell</w:t>
      </w:r>
      <w:r>
        <w:t>. Similarly</w:t>
      </w:r>
      <w:r w:rsidR="00823BE2">
        <w:t>,</w:t>
      </w:r>
      <w:r>
        <w:t xml:space="preserve"> minimum G</w:t>
      </w:r>
      <w:r w:rsidRPr="00062DD4">
        <w:rPr>
          <w:sz w:val="28"/>
          <w:vertAlign w:val="subscript"/>
        </w:rPr>
        <w:t>4</w:t>
      </w:r>
      <w:r>
        <w:t xml:space="preserve"> occurs when the UE is next to the BS, i.e. T</w:t>
      </w:r>
      <w:r w:rsidRPr="00062DD4">
        <w:rPr>
          <w:sz w:val="24"/>
          <w:vertAlign w:val="subscript"/>
        </w:rPr>
        <w:t>p</w:t>
      </w:r>
      <w:r>
        <w:t xml:space="preserve"> (i) = 0.</w:t>
      </w:r>
      <w:r w:rsidR="00DE4FED">
        <w:t xml:space="preserve"> </w:t>
      </w:r>
    </w:p>
    <w:p w14:paraId="0BBB663E" w14:textId="6023D112" w:rsidR="002B3AE6" w:rsidRDefault="002B3AE6" w:rsidP="008A5CE5">
      <w:pPr>
        <w:jc w:val="both"/>
      </w:pPr>
      <w:r>
        <w:t>We constrain the total time spent on DL</w:t>
      </w:r>
      <w:r>
        <w:sym w:font="Wingdings 3" w:char="F022"/>
      </w:r>
      <w:r>
        <w:t>UL and UL</w:t>
      </w:r>
      <w:r>
        <w:sym w:font="Wingdings 3" w:char="F022"/>
      </w:r>
      <w:r>
        <w:t xml:space="preserve">DL switches to the </w:t>
      </w:r>
      <w:r w:rsidRPr="008E5321">
        <w:t>guard period</w:t>
      </w:r>
      <w:r>
        <w:t xml:space="preserve"> (GP), i.e.</w:t>
      </w:r>
      <w:r w:rsidR="00DE4FED">
        <w:t xml:space="preserve"> </w:t>
      </w:r>
    </w:p>
    <w:p w14:paraId="2F4E0781" w14:textId="77777777" w:rsidR="002B3AE6" w:rsidRPr="004671E2" w:rsidRDefault="002B3AE6" w:rsidP="008A5CE5">
      <w:pPr>
        <w:jc w:val="both"/>
        <w:rPr>
          <w:vanish/>
          <w:specVanish/>
        </w:rPr>
      </w:pPr>
      <w:r>
        <w:tab/>
      </w:r>
      <m:oMath>
        <m:r>
          <w:rPr>
            <w:rFonts w:ascii="Cambria Math" w:hAnsi="Cambria Math"/>
          </w:rPr>
          <m:t>GP</m:t>
        </m:r>
        <m:r>
          <m:rPr>
            <m:sty m:val="p"/>
          </m:rP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1</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G</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3</m:t>
            </m:r>
          </m:sub>
        </m:sSub>
        <m:sSub>
          <m:sSubPr>
            <m:ctrlPr>
              <w:rPr>
                <w:rFonts w:ascii="Cambria Math" w:hAnsi="Cambria Math"/>
              </w:rPr>
            </m:ctrlPr>
          </m:sSubPr>
          <m:e>
            <m:d>
              <m:dPr>
                <m:ctrlPr>
                  <w:rPr>
                    <w:rFonts w:ascii="Cambria Math" w:hAnsi="Cambria Math"/>
                  </w:rPr>
                </m:ctrlPr>
              </m:dPr>
              <m:e>
                <m:r>
                  <w:rPr>
                    <w:rFonts w:ascii="Cambria Math" w:hAnsi="Cambria Math"/>
                  </w:rPr>
                  <m:t>i</m:t>
                </m:r>
              </m:e>
            </m:d>
            <m:r>
              <m:rPr>
                <m:sty m:val="p"/>
              </m:rPr>
              <w:rPr>
                <w:rFonts w:ascii="Cambria Math" w:hAnsi="Cambria Math"/>
              </w:rPr>
              <m:t xml:space="preserve">+ </m:t>
            </m:r>
            <m:r>
              <w:rPr>
                <w:rFonts w:ascii="Cambria Math" w:hAnsi="Cambria Math"/>
              </w:rPr>
              <m:t>G</m:t>
            </m:r>
          </m:e>
          <m:sub>
            <m:r>
              <m:rPr>
                <m:sty m:val="p"/>
              </m:rPr>
              <w:rPr>
                <w:rFonts w:ascii="Cambria Math" w:hAnsi="Cambria Math"/>
              </w:rPr>
              <m:t>4</m:t>
            </m:r>
          </m:sub>
        </m:sSub>
        <m:r>
          <m:rPr>
            <m:sty m:val="p"/>
          </m:rPr>
          <w:rPr>
            <w:rFonts w:ascii="Cambria Math" w:hAnsi="Cambria Math"/>
          </w:rPr>
          <m:t>(</m:t>
        </m:r>
        <m:r>
          <w:rPr>
            <w:rFonts w:ascii="Cambria Math" w:hAnsi="Cambria Math"/>
          </w:rPr>
          <m:t>i</m:t>
        </m:r>
        <m:r>
          <m:rPr>
            <m:sty m:val="p"/>
          </m:rPr>
          <w:rPr>
            <w:rFonts w:ascii="Cambria Math" w:hAnsi="Cambria Math"/>
          </w:rPr>
          <m:t>)</m:t>
        </m:r>
      </m:oMath>
      <w:r>
        <w:tab/>
      </w:r>
      <w:r>
        <w:tab/>
      </w:r>
    </w:p>
    <w:p w14:paraId="5F82B56E" w14:textId="2C39F9FE" w:rsidR="002B3AE6" w:rsidRDefault="002B3AE6" w:rsidP="00C303E4">
      <w:pPr>
        <w:jc w:val="both"/>
      </w:pPr>
      <w:r>
        <w:t xml:space="preserve"> </w:t>
      </w:r>
      <w:bookmarkStart w:id="5" w:name="_Ref495087218"/>
      <w:r>
        <w:t>(</w:t>
      </w:r>
      <w:r>
        <w:fldChar w:fldCharType="begin"/>
      </w:r>
      <w:r>
        <w:instrText xml:space="preserve"> STYLEREF 1 \s </w:instrText>
      </w:r>
      <w:r>
        <w:fldChar w:fldCharType="separate"/>
      </w:r>
      <w:r w:rsidR="00AB2065">
        <w:rPr>
          <w:noProof/>
        </w:rPr>
        <w:t>2</w:t>
      </w:r>
      <w:r>
        <w:rPr>
          <w:noProof/>
        </w:rPr>
        <w:fldChar w:fldCharType="end"/>
      </w:r>
      <w:r>
        <w:t>-</w:t>
      </w:r>
      <w:r>
        <w:fldChar w:fldCharType="begin"/>
      </w:r>
      <w:r>
        <w:instrText xml:space="preserve"> SEQ Equation \* ARABIC \s 1 </w:instrText>
      </w:r>
      <w:r>
        <w:fldChar w:fldCharType="separate"/>
      </w:r>
      <w:r w:rsidR="00AB2065">
        <w:rPr>
          <w:noProof/>
        </w:rPr>
        <w:t>4</w:t>
      </w:r>
      <w:r>
        <w:rPr>
          <w:noProof/>
        </w:rPr>
        <w:fldChar w:fldCharType="end"/>
      </w:r>
      <w:r>
        <w:t>)</w:t>
      </w:r>
      <w:bookmarkEnd w:id="5"/>
    </w:p>
    <w:p w14:paraId="3477276F" w14:textId="1B59EB63" w:rsidR="002B3AE6" w:rsidRDefault="002B3AE6" w:rsidP="008A5CE5">
      <w:pPr>
        <w:jc w:val="both"/>
      </w:pPr>
      <w:r>
        <w:t>Guard period is typically a multiple of LTE symbol duration in 4G. Note that G</w:t>
      </w:r>
      <w:r w:rsidRPr="00BE44D6">
        <w:rPr>
          <w:sz w:val="26"/>
          <w:vertAlign w:val="subscript"/>
        </w:rPr>
        <w:t>1</w:t>
      </w:r>
      <w:r>
        <w:t xml:space="preserve"> and G</w:t>
      </w:r>
      <w:r w:rsidRPr="00BE44D6">
        <w:rPr>
          <w:sz w:val="24"/>
          <w:vertAlign w:val="subscript"/>
        </w:rPr>
        <w:t>2</w:t>
      </w:r>
      <w:r>
        <w:t xml:space="preserve"> are network system parameters, whereas G</w:t>
      </w:r>
      <w:r w:rsidRPr="00BE44D6">
        <w:rPr>
          <w:sz w:val="26"/>
          <w:vertAlign w:val="subscript"/>
        </w:rPr>
        <w:t>3</w:t>
      </w:r>
      <w:r>
        <w:t xml:space="preserve"> are G</w:t>
      </w:r>
      <w:r w:rsidRPr="00BE44D6">
        <w:rPr>
          <w:sz w:val="26"/>
          <w:vertAlign w:val="subscript"/>
        </w:rPr>
        <w:t>4</w:t>
      </w:r>
      <w:r>
        <w:t xml:space="preserve"> are UE dependent variables.</w:t>
      </w:r>
    </w:p>
    <w:p w14:paraId="5A30AB6F" w14:textId="63A7F135" w:rsidR="002B3AE6" w:rsidRDefault="00823BE2" w:rsidP="008A5CE5">
      <w:r>
        <w:rPr>
          <w:noProof/>
        </w:rPr>
        <mc:AlternateContent>
          <mc:Choice Requires="wps">
            <w:drawing>
              <wp:anchor distT="0" distB="0" distL="114300" distR="114300" simplePos="0" relativeHeight="251667456" behindDoc="0" locked="0" layoutInCell="1" allowOverlap="1" wp14:anchorId="007E13BD" wp14:editId="7FC7F779">
                <wp:simplePos x="0" y="0"/>
                <wp:positionH relativeFrom="column">
                  <wp:posOffset>0</wp:posOffset>
                </wp:positionH>
                <wp:positionV relativeFrom="paragraph">
                  <wp:posOffset>2520950</wp:posOffset>
                </wp:positionV>
                <wp:extent cx="5622290" cy="298450"/>
                <wp:effectExtent l="0" t="0" r="0" b="6350"/>
                <wp:wrapNone/>
                <wp:docPr id="13" name="Text Box 13"/>
                <wp:cNvGraphicFramePr/>
                <a:graphic xmlns:a="http://schemas.openxmlformats.org/drawingml/2006/main">
                  <a:graphicData uri="http://schemas.microsoft.com/office/word/2010/wordprocessingShape">
                    <wps:wsp>
                      <wps:cNvSpPr txBox="1"/>
                      <wps:spPr>
                        <a:xfrm>
                          <a:off x="0" y="0"/>
                          <a:ext cx="5622290" cy="298450"/>
                        </a:xfrm>
                        <a:prstGeom prst="rect">
                          <a:avLst/>
                        </a:prstGeom>
                        <a:solidFill>
                          <a:prstClr val="white"/>
                        </a:solidFill>
                        <a:ln>
                          <a:noFill/>
                        </a:ln>
                      </wps:spPr>
                      <wps:txbx>
                        <w:txbxContent>
                          <w:p w14:paraId="388E5814" w14:textId="77777777" w:rsidR="006300B5" w:rsidRPr="00C67241" w:rsidRDefault="006300B5" w:rsidP="008A5CE5">
                            <w:pPr>
                              <w:pStyle w:val="Caption"/>
                              <w:ind w:right="-2347"/>
                              <w:jc w:val="center"/>
                              <w:rPr>
                                <w:noProof/>
                              </w:rPr>
                            </w:pPr>
                            <w:bookmarkStart w:id="6" w:name="_Ref503370395"/>
                            <w:r>
                              <w:t xml:space="preserve">Figure </w:t>
                            </w:r>
                            <w:r>
                              <w:fldChar w:fldCharType="begin"/>
                            </w:r>
                            <w:r>
                              <w:instrText xml:space="preserve"> SEQ Figure \* ARABIC </w:instrText>
                            </w:r>
                            <w:r>
                              <w:fldChar w:fldCharType="separate"/>
                            </w:r>
                            <w:r>
                              <w:rPr>
                                <w:noProof/>
                              </w:rPr>
                              <w:t>2</w:t>
                            </w:r>
                            <w:r>
                              <w:fldChar w:fldCharType="end"/>
                            </w:r>
                            <w:bookmarkEnd w:id="6"/>
                            <w:r>
                              <w:t xml:space="preserve">. </w:t>
                            </w:r>
                            <w:r w:rsidRPr="0094124F">
                              <w:t>Variation of G3 and G4 for a given UE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07E13BD" id="_x0000_t202" coordsize="21600,21600" o:spt="202" path="m,l,21600r21600,l21600,xe">
                <v:stroke joinstyle="miter"/>
                <v:path gradientshapeok="t" o:connecttype="rect"/>
              </v:shapetype>
              <v:shape id="Text Box 13" o:spid="_x0000_s1026" type="#_x0000_t202" style="position:absolute;margin-left:0;margin-top:198.5pt;width:442.7pt;height:23.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" stroked="f">
                <v:textbox style="mso-fit-shape-to-text:t" inset="0,0,0,0">
                  <w:txbxContent>
                    <w:p w14:paraId="388E5814" w14:textId="77777777" w:rsidR="006300B5" w:rsidRPr="00C67241" w:rsidRDefault="006300B5" w:rsidP="008A5CE5">
                      <w:pPr>
                        <w:pStyle w:val="Caption"/>
                        <w:ind w:right="-2347"/>
                        <w:jc w:val="center"/>
                        <w:rPr>
                          <w:noProof/>
                        </w:rPr>
                      </w:pPr>
                      <w:bookmarkStart w:id="6" w:name="_Ref503370395"/>
                      <w:r>
                        <w:t xml:space="preserve">Figure </w:t>
                      </w:r>
                      <w:r>
                        <w:fldChar w:fldCharType="begin"/>
                      </w:r>
                      <w:r>
                        <w:instrText xml:space="preserve"> SEQ Figure \* ARABIC </w:instrText>
                      </w:r>
                      <w:r>
                        <w:fldChar w:fldCharType="separate"/>
                      </w:r>
                      <w:r>
                        <w:rPr>
                          <w:noProof/>
                        </w:rPr>
                        <w:t>2</w:t>
                      </w:r>
                      <w:r>
                        <w:fldChar w:fldCharType="end"/>
                      </w:r>
                      <w:bookmarkEnd w:id="6"/>
                      <w:r>
                        <w:t xml:space="preserve">. </w:t>
                      </w:r>
                      <w:r w:rsidRPr="0094124F">
                        <w:t>Variation of G3 and G4 for a given UE</w:t>
                      </w:r>
                    </w:p>
                  </w:txbxContent>
                </v:textbox>
              </v:shape>
            </w:pict>
          </mc:Fallback>
        </mc:AlternateContent>
      </w:r>
      <w:r>
        <w:rPr>
          <w:noProof/>
        </w:rPr>
        <w:drawing>
          <wp:anchor distT="0" distB="0" distL="114300" distR="114300" simplePos="0" relativeHeight="251665408" behindDoc="1" locked="0" layoutInCell="1" allowOverlap="1" wp14:anchorId="356DD78B" wp14:editId="51F2B4CE">
            <wp:simplePos x="0" y="0"/>
            <wp:positionH relativeFrom="column">
              <wp:posOffset>-971</wp:posOffset>
            </wp:positionH>
            <wp:positionV relativeFrom="paragraph">
              <wp:posOffset>299</wp:posOffset>
            </wp:positionV>
            <wp:extent cx="4108450" cy="2463800"/>
            <wp:effectExtent l="0" t="0" r="6350" b="0"/>
            <wp:wrapTight wrapText="bothSides">
              <wp:wrapPolygon edited="0">
                <wp:start x="0" y="0"/>
                <wp:lineTo x="0" y="21377"/>
                <wp:lineTo x="21533" y="21377"/>
                <wp:lineTo x="2153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3G4.jpg"/>
                    <pic:cNvPicPr/>
                  </pic:nvPicPr>
                  <pic:blipFill>
                    <a:blip r:embed="rId9">
                      <a:extLst>
                        <a:ext uri="{28A0092B-C50C-407E-A947-70E740481C1C}">
                          <a14:useLocalDpi xmlns:a14="http://schemas.microsoft.com/office/drawing/2010/main" val="0"/>
                        </a:ext>
                      </a:extLst>
                    </a:blip>
                    <a:stretch>
                      <a:fillRect/>
                    </a:stretch>
                  </pic:blipFill>
                  <pic:spPr>
                    <a:xfrm>
                      <a:off x="0" y="0"/>
                      <a:ext cx="4108450" cy="2463800"/>
                    </a:xfrm>
                    <a:prstGeom prst="rect">
                      <a:avLst/>
                    </a:prstGeom>
                  </pic:spPr>
                </pic:pic>
              </a:graphicData>
            </a:graphic>
            <wp14:sizeRelH relativeFrom="margin">
              <wp14:pctWidth>0</wp14:pctWidth>
            </wp14:sizeRelH>
            <wp14:sizeRelV relativeFrom="margin">
              <wp14:pctHeight>0</wp14:pctHeight>
            </wp14:sizeRelV>
          </wp:anchor>
        </w:drawing>
      </w:r>
    </w:p>
    <w:p w14:paraId="182DA090" w14:textId="77777777" w:rsidR="002B3AE6" w:rsidRDefault="002B3AE6" w:rsidP="008A5CE5"/>
    <w:p w14:paraId="2975629F" w14:textId="77777777" w:rsidR="002B3AE6" w:rsidRDefault="002B3AE6" w:rsidP="008A5CE5"/>
    <w:p w14:paraId="17552AFB" w14:textId="77777777" w:rsidR="002B3AE6" w:rsidRDefault="002B3AE6" w:rsidP="008A5CE5"/>
    <w:p w14:paraId="395EA205" w14:textId="77777777" w:rsidR="002B3AE6" w:rsidRDefault="002B3AE6" w:rsidP="008A5CE5"/>
    <w:p w14:paraId="7E7A748D" w14:textId="77777777" w:rsidR="002B3AE6" w:rsidRDefault="002B3AE6" w:rsidP="008A5CE5"/>
    <w:p w14:paraId="3AD64427" w14:textId="77777777" w:rsidR="002B3AE6" w:rsidRDefault="002B3AE6" w:rsidP="008A5CE5"/>
    <w:p w14:paraId="49015A9E" w14:textId="77777777" w:rsidR="002B3AE6" w:rsidRDefault="002B3AE6" w:rsidP="008A5CE5"/>
    <w:p w14:paraId="53FE400E" w14:textId="77777777" w:rsidR="00823BE2" w:rsidRDefault="00823BE2" w:rsidP="008A5CE5"/>
    <w:p w14:paraId="5BEC3F10" w14:textId="323BC32F" w:rsidR="002B3AE6" w:rsidRDefault="00DE4FED" w:rsidP="008A5CE5">
      <w:pPr>
        <w:jc w:val="both"/>
      </w:pPr>
      <w:r>
        <w:t xml:space="preserve"> </w:t>
      </w:r>
      <w:r w:rsidR="002B3AE6">
        <w:t xml:space="preserve"> </w:t>
      </w:r>
    </w:p>
    <w:p w14:paraId="20BCA578" w14:textId="77777777" w:rsidR="003875F3" w:rsidRDefault="003875F3" w:rsidP="008A5CE5">
      <w:pPr>
        <w:jc w:val="both"/>
        <w:rPr>
          <w:color w:val="0000FF"/>
        </w:rPr>
      </w:pPr>
    </w:p>
    <w:p w14:paraId="113C2AD2" w14:textId="26900F6B" w:rsidR="002B3AE6" w:rsidRDefault="00823BE2" w:rsidP="008A5CE5">
      <w:pPr>
        <w:jc w:val="both"/>
      </w:pPr>
      <w:r>
        <w:rPr>
          <w:color w:val="0000FF"/>
        </w:rPr>
        <w:lastRenderedPageBreak/>
        <w:fldChar w:fldCharType="begin"/>
      </w:r>
      <w:r>
        <w:rPr>
          <w:color w:val="0000FF"/>
        </w:rPr>
        <w:instrText xml:space="preserve"> REF _Ref503370395 \h </w:instrText>
      </w:r>
      <w:r w:rsidR="003B2416">
        <w:rPr>
          <w:color w:val="0000FF"/>
        </w:rPr>
        <w:instrText xml:space="preserve"> \* MERGEFORMAT </w:instrText>
      </w:r>
      <w:r>
        <w:rPr>
          <w:color w:val="0000FF"/>
        </w:rPr>
      </w:r>
      <w:r>
        <w:rPr>
          <w:color w:val="0000FF"/>
        </w:rPr>
        <w:fldChar w:fldCharType="separate"/>
      </w:r>
      <w:r w:rsidR="00AB2065">
        <w:t xml:space="preserve">Figure </w:t>
      </w:r>
      <w:r w:rsidR="00AB2065">
        <w:rPr>
          <w:noProof/>
        </w:rPr>
        <w:t>2</w:t>
      </w:r>
      <w:r>
        <w:rPr>
          <w:color w:val="0000FF"/>
        </w:rPr>
        <w:fldChar w:fldCharType="end"/>
      </w:r>
      <w:r>
        <w:t xml:space="preserve"> </w:t>
      </w:r>
      <w:r w:rsidR="002B3AE6">
        <w:t>depicts the variation of G</w:t>
      </w:r>
      <w:r w:rsidR="002B3AE6" w:rsidRPr="00BE44D6">
        <w:rPr>
          <w:sz w:val="26"/>
          <w:vertAlign w:val="subscript"/>
        </w:rPr>
        <w:t>3</w:t>
      </w:r>
      <w:r w:rsidR="002B3AE6">
        <w:t xml:space="preserve"> versus G</w:t>
      </w:r>
      <w:r w:rsidR="002B3AE6" w:rsidRPr="00BE44D6">
        <w:rPr>
          <w:sz w:val="26"/>
          <w:vertAlign w:val="subscript"/>
        </w:rPr>
        <w:t>4</w:t>
      </w:r>
      <w:r w:rsidR="002B3AE6">
        <w:t xml:space="preserve"> for a given UE. Assuming symmetric DL</w:t>
      </w:r>
      <w:r w:rsidR="002B3AE6">
        <w:sym w:font="Wingdings 3" w:char="F031"/>
      </w:r>
      <w:r w:rsidR="00DE4FED">
        <w:t xml:space="preserve"> </w:t>
      </w:r>
      <w:r w:rsidR="002B3AE6">
        <w:t xml:space="preserve">UL switch times, the UEs in the network need to be able to switch in a timely fashion even in the worst case scenarios, i.e. </w:t>
      </w:r>
    </w:p>
    <w:p w14:paraId="4C43843E" w14:textId="066A2D8B" w:rsidR="002B3AE6" w:rsidRPr="00951214" w:rsidRDefault="002B3AE6" w:rsidP="008A5CE5">
      <w:pPr>
        <w:jc w:val="both"/>
        <w:rPr>
          <w:vanish/>
          <w:specVanish/>
        </w:rPr>
      </w:pPr>
      <w:r>
        <w:tab/>
      </w:r>
      <m:oMath>
        <m:sSub>
          <m:sSubPr>
            <m:ctrlPr>
              <w:rPr>
                <w:rFonts w:ascii="Cambria Math" w:hAnsi="Cambria Math"/>
              </w:rPr>
            </m:ctrlPr>
          </m:sSubPr>
          <m:e>
            <m:r>
              <w:rPr>
                <w:rFonts w:ascii="Cambria Math" w:hAnsi="Cambria Math"/>
              </w:rPr>
              <m:t>G</m:t>
            </m:r>
          </m:e>
          <m:sub>
            <m:r>
              <m:rPr>
                <m:sty m:val="p"/>
              </m:rPr>
              <w:rPr>
                <w:rFonts w:ascii="Cambria Math" w:hAnsi="Cambria Math"/>
              </w:rPr>
              <m:t>3,4</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m:rPr>
                        <m:sty m:val="p"/>
                      </m:rPr>
                      <w:rPr>
                        <w:rFonts w:ascii="Cambria Math" w:hAnsi="Cambria Math"/>
                      </w:rPr>
                      <m:t>1</m:t>
                    </m:r>
                  </m:sub>
                </m:sSub>
                <m:r>
                  <m:rPr>
                    <m:sty m:val="p"/>
                  </m:rPr>
                  <w:rPr>
                    <w:rFonts w:ascii="Cambria Math" w:hAnsi="Cambria Math"/>
                  </w:rPr>
                  <m:t>-2</m:t>
                </m:r>
                <m:sSub>
                  <m:sSubPr>
                    <m:ctrlPr>
                      <w:rPr>
                        <w:rFonts w:ascii="Cambria Math" w:hAnsi="Cambria Math"/>
                      </w:rPr>
                    </m:ctrlPr>
                  </m:sSubPr>
                  <m:e>
                    <m:r>
                      <w:rPr>
                        <w:rFonts w:ascii="Cambria Math" w:hAnsi="Cambria Math"/>
                      </w:rPr>
                      <m:t>T</m:t>
                    </m:r>
                  </m:e>
                  <m:sub>
                    <m:r>
                      <w:rPr>
                        <w:rFonts w:ascii="Cambria Math" w:hAnsi="Cambria Math"/>
                      </w:rPr>
                      <m:t>cell</m:t>
                    </m:r>
                  </m:sub>
                </m:sSub>
                <m:r>
                  <m:rPr>
                    <m:sty m:val="p"/>
                  </m:rPr>
                  <w:rPr>
                    <w:rFonts w:ascii="Cambria Math" w:hAnsi="Cambria Math"/>
                  </w:rPr>
                  <m:t xml:space="preserve"> , </m:t>
                </m:r>
                <m:r>
                  <w:rPr>
                    <w:rFonts w:ascii="Cambria Math" w:hAnsi="Cambria Math"/>
                  </w:rPr>
                  <m:t>GP</m:t>
                </m:r>
                <m:r>
                  <m:rPr>
                    <m:sty m:val="p"/>
                  </m:rP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1</m:t>
                    </m:r>
                  </m:sub>
                </m:sSub>
              </m:e>
            </m:d>
          </m:e>
        </m:func>
        <m:r>
          <m:rPr>
            <m:sty m:val="p"/>
          </m:rPr>
          <w:rPr>
            <w:rFonts w:ascii="Cambria Math" w:hAnsi="Cambria Math"/>
          </w:rPr>
          <m:t xml:space="preserve">   </m:t>
        </m:r>
        <m:r>
          <w:rPr>
            <w:rFonts w:ascii="Cambria Math" w:hAnsi="Cambria Math"/>
          </w:rPr>
          <m:t>i</m:t>
        </m:r>
        <m:r>
          <m:rPr>
            <m:sty m:val="p"/>
          </m:rPr>
          <w:rPr>
            <w:rFonts w:ascii="Cambria Math" w:hAnsi="Cambria Math"/>
          </w:rPr>
          <m:t xml:space="preserve">=1,2,… </m:t>
        </m:r>
      </m:oMath>
      <w:r>
        <w:tab/>
      </w:r>
      <w:r>
        <w:tab/>
      </w:r>
    </w:p>
    <w:p w14:paraId="55352314" w14:textId="38E94DDB" w:rsidR="002B3AE6" w:rsidRDefault="002B3AE6" w:rsidP="00C303E4">
      <w:pPr>
        <w:jc w:val="both"/>
      </w:pPr>
      <w:r>
        <w:t xml:space="preserve"> (</w:t>
      </w:r>
      <w:r>
        <w:fldChar w:fldCharType="begin"/>
      </w:r>
      <w:r>
        <w:instrText xml:space="preserve"> STYLEREF 1 \s </w:instrText>
      </w:r>
      <w:r>
        <w:fldChar w:fldCharType="separate"/>
      </w:r>
      <w:r w:rsidR="00AB2065">
        <w:rPr>
          <w:noProof/>
        </w:rPr>
        <w:t>2</w:t>
      </w:r>
      <w:r>
        <w:rPr>
          <w:noProof/>
        </w:rPr>
        <w:fldChar w:fldCharType="end"/>
      </w:r>
      <w:r>
        <w:t>-</w:t>
      </w:r>
      <w:r>
        <w:fldChar w:fldCharType="begin"/>
      </w:r>
      <w:r>
        <w:instrText xml:space="preserve"> SEQ Equation \* ARABIC \s 1 </w:instrText>
      </w:r>
      <w:r>
        <w:fldChar w:fldCharType="separate"/>
      </w:r>
      <w:r w:rsidR="00AB2065">
        <w:rPr>
          <w:noProof/>
        </w:rPr>
        <w:t>5</w:t>
      </w:r>
      <w:r>
        <w:rPr>
          <w:noProof/>
        </w:rPr>
        <w:fldChar w:fldCharType="end"/>
      </w:r>
      <w:r>
        <w:t>)</w:t>
      </w:r>
    </w:p>
    <w:p w14:paraId="728F86F6" w14:textId="3261E146" w:rsidR="002B3AE6" w:rsidRDefault="002B3AE6" w:rsidP="008A5CE5">
      <w:pPr>
        <w:jc w:val="both"/>
      </w:pPr>
      <w:r>
        <w:t>The right hand side represents the maximum switch time budget that every UE in the network need to comply with. It attains its maximum value when</w:t>
      </w:r>
    </w:p>
    <w:p w14:paraId="07397D43" w14:textId="77777777" w:rsidR="002B3AE6" w:rsidRPr="00C13C8D" w:rsidRDefault="002B3AE6" w:rsidP="008A5CE5">
      <w:pPr>
        <w:jc w:val="both"/>
        <w:rPr>
          <w:vanish/>
          <w:specVanish/>
        </w:rPr>
      </w:pPr>
      <w:r>
        <w:tab/>
      </w:r>
      <m:oMath>
        <m:sSubSup>
          <m:sSubSupPr>
            <m:ctrlPr>
              <w:rPr>
                <w:rFonts w:ascii="Cambria Math" w:hAnsi="Cambria Math"/>
              </w:rPr>
            </m:ctrlPr>
          </m:sSubSupPr>
          <m:e>
            <m:r>
              <w:rPr>
                <w:rFonts w:ascii="Cambria Math" w:hAnsi="Cambria Math"/>
              </w:rPr>
              <m:t>G</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 xml:space="preserve">-2 </m:t>
        </m:r>
        <m:sSub>
          <m:sSubPr>
            <m:ctrlPr>
              <w:rPr>
                <w:rFonts w:ascii="Cambria Math" w:hAnsi="Cambria Math"/>
              </w:rPr>
            </m:ctrlPr>
          </m:sSubPr>
          <m:e>
            <m:r>
              <w:rPr>
                <w:rFonts w:ascii="Cambria Math" w:hAnsi="Cambria Math"/>
              </w:rPr>
              <m:t>T</m:t>
            </m:r>
          </m:e>
          <m:sub>
            <m:r>
              <w:rPr>
                <w:rFonts w:ascii="Cambria Math" w:hAnsi="Cambria Math"/>
              </w:rPr>
              <m:t>cell</m:t>
            </m:r>
          </m:sub>
        </m:sSub>
        <m:r>
          <m:rPr>
            <m:sty m:val="p"/>
          </m:rPr>
          <w:rPr>
            <w:rFonts w:ascii="Cambria Math" w:hAnsi="Cambria Math"/>
          </w:rPr>
          <m:t>=</m:t>
        </m:r>
        <m:r>
          <w:rPr>
            <w:rFonts w:ascii="Cambria Math" w:hAnsi="Cambria Math"/>
          </w:rPr>
          <m:t>GP</m:t>
        </m:r>
        <m:r>
          <m:rPr>
            <m:sty m:val="p"/>
          </m:rPr>
          <w:rPr>
            <w:rFonts w:ascii="Cambria Math" w:hAnsi="Cambria Math"/>
          </w:rPr>
          <m:t>-</m:t>
        </m:r>
        <m:sSubSup>
          <m:sSubSupPr>
            <m:ctrlPr>
              <w:rPr>
                <w:rFonts w:ascii="Cambria Math" w:hAnsi="Cambria Math"/>
              </w:rPr>
            </m:ctrlPr>
          </m:sSubSupPr>
          <m:e>
            <m:r>
              <w:rPr>
                <w:rFonts w:ascii="Cambria Math" w:hAnsi="Cambria Math"/>
              </w:rPr>
              <m:t>G</m:t>
            </m:r>
          </m:e>
          <m:sub>
            <m:r>
              <m:rPr>
                <m:sty m:val="p"/>
              </m:rPr>
              <w:rPr>
                <w:rFonts w:ascii="Cambria Math" w:hAnsi="Cambria Math"/>
              </w:rPr>
              <m:t>1</m:t>
            </m:r>
          </m:sub>
          <m:sup>
            <m:r>
              <m:rPr>
                <m:sty m:val="p"/>
              </m:rPr>
              <w:rPr>
                <w:rFonts w:ascii="Cambria Math" w:hAnsi="Cambria Math"/>
              </w:rPr>
              <m:t>*</m:t>
            </m:r>
          </m:sup>
        </m:sSubSup>
      </m:oMath>
      <w:r>
        <w:tab/>
      </w:r>
      <w:r>
        <w:tab/>
      </w:r>
    </w:p>
    <w:p w14:paraId="43872A6A" w14:textId="05C28F52" w:rsidR="002B3AE6" w:rsidRDefault="002B3AE6" w:rsidP="00C303E4">
      <w:pPr>
        <w:jc w:val="both"/>
      </w:pPr>
      <w:r>
        <w:t xml:space="preserve"> </w:t>
      </w:r>
      <w:bookmarkStart w:id="7" w:name="_Ref495087588"/>
      <w:r>
        <w:t>(</w:t>
      </w:r>
      <w:r>
        <w:fldChar w:fldCharType="begin"/>
      </w:r>
      <w:r>
        <w:instrText xml:space="preserve"> STYLEREF 1 \s </w:instrText>
      </w:r>
      <w:r>
        <w:fldChar w:fldCharType="separate"/>
      </w:r>
      <w:r w:rsidR="00AB2065">
        <w:rPr>
          <w:noProof/>
        </w:rPr>
        <w:t>2</w:t>
      </w:r>
      <w:r>
        <w:rPr>
          <w:noProof/>
        </w:rPr>
        <w:fldChar w:fldCharType="end"/>
      </w:r>
      <w:r>
        <w:t>-</w:t>
      </w:r>
      <w:r>
        <w:fldChar w:fldCharType="begin"/>
      </w:r>
      <w:r>
        <w:instrText xml:space="preserve"> SEQ Equation \* ARABIC \s 1 </w:instrText>
      </w:r>
      <w:r>
        <w:fldChar w:fldCharType="separate"/>
      </w:r>
      <w:r w:rsidR="00AB2065">
        <w:rPr>
          <w:noProof/>
        </w:rPr>
        <w:t>6</w:t>
      </w:r>
      <w:r>
        <w:rPr>
          <w:noProof/>
        </w:rPr>
        <w:fldChar w:fldCharType="end"/>
      </w:r>
      <w:r>
        <w:t>)</w:t>
      </w:r>
      <w:bookmarkEnd w:id="7"/>
    </w:p>
    <w:p w14:paraId="3372EB64" w14:textId="77777777" w:rsidR="002B3AE6" w:rsidRDefault="002B3AE6" w:rsidP="008A5CE5">
      <w:pPr>
        <w:jc w:val="both"/>
      </w:pPr>
      <w:r>
        <w:t xml:space="preserve">which yields </w:t>
      </w:r>
    </w:p>
    <w:p w14:paraId="5ABD2EB9" w14:textId="77777777" w:rsidR="002B3AE6" w:rsidRPr="00F5288C" w:rsidRDefault="002B3AE6" w:rsidP="008A5CE5">
      <w:pPr>
        <w:jc w:val="both"/>
        <w:rPr>
          <w:vanish/>
          <w:specVanish/>
        </w:rPr>
      </w:pPr>
      <w:r>
        <w:tab/>
      </w:r>
      <m:oMath>
        <m:sSubSup>
          <m:sSubSupPr>
            <m:ctrlPr>
              <w:rPr>
                <w:rFonts w:ascii="Cambria Math" w:hAnsi="Cambria Math"/>
              </w:rPr>
            </m:ctrlPr>
          </m:sSubSupPr>
          <m:e>
            <m:r>
              <w:rPr>
                <w:rFonts w:ascii="Cambria Math" w:hAnsi="Cambria Math"/>
              </w:rPr>
              <m:t>G</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m:t>
        </m:r>
        <m:f>
          <m:fPr>
            <m:ctrlPr>
              <w:rPr>
                <w:rFonts w:ascii="Cambria Math" w:hAnsi="Cambria Math"/>
              </w:rPr>
            </m:ctrlPr>
          </m:fPr>
          <m:num>
            <m:r>
              <w:rPr>
                <w:rFonts w:ascii="Cambria Math" w:hAnsi="Cambria Math"/>
              </w:rPr>
              <m:t>GP</m:t>
            </m:r>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cell</m:t>
            </m:r>
          </m:sub>
        </m:sSub>
      </m:oMath>
      <w:r>
        <w:tab/>
      </w:r>
      <w:r>
        <w:tab/>
      </w:r>
    </w:p>
    <w:p w14:paraId="26B64F6B" w14:textId="38D8D931" w:rsidR="002B3AE6" w:rsidRDefault="002B3AE6" w:rsidP="00C303E4">
      <w:pPr>
        <w:jc w:val="both"/>
      </w:pPr>
      <w:r>
        <w:t xml:space="preserve"> </w:t>
      </w:r>
      <w:bookmarkStart w:id="8" w:name="_Ref495087576"/>
      <w:r>
        <w:t>(</w:t>
      </w:r>
      <w:r>
        <w:fldChar w:fldCharType="begin"/>
      </w:r>
      <w:r>
        <w:instrText xml:space="preserve"> STYLEREF 1 \s </w:instrText>
      </w:r>
      <w:r>
        <w:fldChar w:fldCharType="separate"/>
      </w:r>
      <w:r w:rsidR="00AB2065">
        <w:rPr>
          <w:noProof/>
        </w:rPr>
        <w:t>2</w:t>
      </w:r>
      <w:r>
        <w:rPr>
          <w:noProof/>
        </w:rPr>
        <w:fldChar w:fldCharType="end"/>
      </w:r>
      <w:r>
        <w:t>-</w:t>
      </w:r>
      <w:r>
        <w:fldChar w:fldCharType="begin"/>
      </w:r>
      <w:r>
        <w:instrText xml:space="preserve"> SEQ Equation \* ARABIC \s 1 </w:instrText>
      </w:r>
      <w:r>
        <w:fldChar w:fldCharType="separate"/>
      </w:r>
      <w:r w:rsidR="00AB2065">
        <w:rPr>
          <w:noProof/>
        </w:rPr>
        <w:t>7</w:t>
      </w:r>
      <w:r>
        <w:rPr>
          <w:noProof/>
        </w:rPr>
        <w:fldChar w:fldCharType="end"/>
      </w:r>
      <w:r>
        <w:t>)</w:t>
      </w:r>
      <w:bookmarkEnd w:id="8"/>
    </w:p>
    <w:p w14:paraId="3B11780A" w14:textId="225D3914" w:rsidR="002B3AE6" w:rsidRDefault="002B3AE6" w:rsidP="008A5CE5">
      <w:pPr>
        <w:jc w:val="both"/>
      </w:pPr>
      <w:r>
        <w:t xml:space="preserve">Consequently from </w:t>
      </w:r>
      <w:r>
        <w:fldChar w:fldCharType="begin"/>
      </w:r>
      <w:r w:rsidRPr="00E32293">
        <w:instrText xml:space="preserve"> REF _Ref495087218 \h \t \* \MERGEFORMAT </w:instrText>
      </w:r>
      <w:r>
        <w:fldChar w:fldCharType="separate"/>
      </w:r>
      <w:r w:rsidR="00AB2065">
        <w:t>(</w:t>
      </w:r>
      <w:r w:rsidR="00AB2065">
        <w:rPr>
          <w:noProof/>
        </w:rPr>
        <w:t>2-4</w:t>
      </w:r>
      <w:r w:rsidR="00AB2065">
        <w:t>)</w:t>
      </w:r>
      <w:r>
        <w:fldChar w:fldCharType="end"/>
      </w:r>
    </w:p>
    <w:p w14:paraId="2836EC01" w14:textId="77777777" w:rsidR="002B3AE6" w:rsidRPr="00E32293" w:rsidRDefault="002B3AE6" w:rsidP="008A5CE5">
      <w:pPr>
        <w:jc w:val="both"/>
        <w:rPr>
          <w:vanish/>
          <w:specVanish/>
        </w:rPr>
      </w:pPr>
      <w:r>
        <w:tab/>
      </w:r>
      <m:oMath>
        <m:sSub>
          <m:sSubPr>
            <m:ctrlPr>
              <w:rPr>
                <w:rFonts w:ascii="Cambria Math" w:hAnsi="Cambria Math"/>
              </w:rPr>
            </m:ctrlPr>
          </m:sSubPr>
          <m:e>
            <m:r>
              <w:rPr>
                <w:rFonts w:ascii="Cambria Math" w:hAnsi="Cambria Math"/>
              </w:rPr>
              <m:t>G</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TA</m:t>
            </m:r>
          </m:e>
          <m:sub>
            <m:r>
              <w:rPr>
                <w:rFonts w:ascii="Cambria Math" w:hAnsi="Cambria Math"/>
              </w:rPr>
              <m:t>offset</m:t>
            </m:r>
          </m:sub>
        </m:sSub>
        <m:r>
          <m:rPr>
            <m:sty m:val="p"/>
          </m:rPr>
          <w:rPr>
            <w:rFonts w:ascii="Cambria Math" w:hAnsi="Cambria Math"/>
          </w:rPr>
          <m:t>=</m:t>
        </m:r>
        <m:f>
          <m:fPr>
            <m:ctrlPr>
              <w:rPr>
                <w:rFonts w:ascii="Cambria Math" w:hAnsi="Cambria Math"/>
              </w:rPr>
            </m:ctrlPr>
          </m:fPr>
          <m:num>
            <m:r>
              <w:rPr>
                <w:rFonts w:ascii="Cambria Math" w:hAnsi="Cambria Math"/>
              </w:rPr>
              <m:t>GP</m:t>
            </m:r>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cell</m:t>
            </m:r>
          </m:sub>
        </m:sSub>
      </m:oMath>
      <w:r>
        <w:tab/>
      </w:r>
      <w:r>
        <w:tab/>
      </w:r>
    </w:p>
    <w:p w14:paraId="5E08AA11" w14:textId="2760D743" w:rsidR="002B3AE6" w:rsidRDefault="002B3AE6" w:rsidP="00C303E4">
      <w:pPr>
        <w:jc w:val="both"/>
      </w:pPr>
      <w:r>
        <w:t xml:space="preserve"> </w:t>
      </w:r>
      <w:bookmarkStart w:id="9" w:name="_Ref496654590"/>
      <w:r>
        <w:t>(</w:t>
      </w:r>
      <w:r>
        <w:fldChar w:fldCharType="begin"/>
      </w:r>
      <w:r>
        <w:instrText xml:space="preserve"> STYLEREF 1 \s </w:instrText>
      </w:r>
      <w:r>
        <w:fldChar w:fldCharType="separate"/>
      </w:r>
      <w:r w:rsidR="00AB2065">
        <w:rPr>
          <w:noProof/>
        </w:rPr>
        <w:t>2</w:t>
      </w:r>
      <w:r>
        <w:rPr>
          <w:noProof/>
        </w:rPr>
        <w:fldChar w:fldCharType="end"/>
      </w:r>
      <w:r>
        <w:t>-</w:t>
      </w:r>
      <w:r>
        <w:fldChar w:fldCharType="begin"/>
      </w:r>
      <w:r>
        <w:instrText xml:space="preserve"> SEQ Equation \* ARABIC \s 1 </w:instrText>
      </w:r>
      <w:r>
        <w:fldChar w:fldCharType="separate"/>
      </w:r>
      <w:r w:rsidR="00AB2065">
        <w:rPr>
          <w:noProof/>
        </w:rPr>
        <w:t>8</w:t>
      </w:r>
      <w:r>
        <w:rPr>
          <w:noProof/>
        </w:rPr>
        <w:fldChar w:fldCharType="end"/>
      </w:r>
      <w:r>
        <w:t>)</w:t>
      </w:r>
      <w:bookmarkEnd w:id="9"/>
    </w:p>
    <w:p w14:paraId="0D7147DD" w14:textId="139A9607" w:rsidR="002B3AE6" w:rsidRDefault="002B3AE6" w:rsidP="008A5CE5">
      <w:pPr>
        <w:jc w:val="both"/>
      </w:pPr>
      <w:r>
        <w:t>With the above, the lower bounds for G</w:t>
      </w:r>
      <w:r w:rsidRPr="00321D07">
        <w:rPr>
          <w:sz w:val="26"/>
          <w:vertAlign w:val="subscript"/>
        </w:rPr>
        <w:t>3</w:t>
      </w:r>
      <w:r>
        <w:t xml:space="preserve"> and G</w:t>
      </w:r>
      <w:r w:rsidRPr="00321D07">
        <w:rPr>
          <w:sz w:val="26"/>
          <w:vertAlign w:val="subscript"/>
        </w:rPr>
        <w:t>4</w:t>
      </w:r>
      <w:r>
        <w:t xml:space="preserve"> (i.e. max time allowed for UE switching) can be computed by substituting </w:t>
      </w:r>
      <w:r w:rsidRPr="008A5CE5">
        <w:rPr>
          <w:color w:val="000000" w:themeColor="text1"/>
        </w:rPr>
        <w:fldChar w:fldCharType="begin"/>
      </w:r>
      <w:r w:rsidRPr="008A5CE5">
        <w:rPr>
          <w:color w:val="000000" w:themeColor="text1"/>
        </w:rPr>
        <w:instrText xml:space="preserve"> REF _Ref495087576 \h \t \* \MERGEFORMAT </w:instrText>
      </w:r>
      <w:r w:rsidRPr="008A5CE5">
        <w:rPr>
          <w:color w:val="000000" w:themeColor="text1"/>
        </w:rPr>
      </w:r>
      <w:r w:rsidRPr="008A5CE5">
        <w:rPr>
          <w:color w:val="000000" w:themeColor="text1"/>
        </w:rPr>
        <w:fldChar w:fldCharType="separate"/>
      </w:r>
      <w:r w:rsidR="00AB2065" w:rsidRPr="00AB2065">
        <w:rPr>
          <w:color w:val="000000" w:themeColor="text1"/>
        </w:rPr>
        <w:t>(</w:t>
      </w:r>
      <w:r w:rsidR="00AB2065" w:rsidRPr="00AB2065">
        <w:rPr>
          <w:noProof/>
          <w:color w:val="000000" w:themeColor="text1"/>
        </w:rPr>
        <w:t>2-7</w:t>
      </w:r>
      <w:r w:rsidR="00AB2065" w:rsidRPr="00AB2065">
        <w:rPr>
          <w:color w:val="000000" w:themeColor="text1"/>
        </w:rPr>
        <w:t>)</w:t>
      </w:r>
      <w:r w:rsidRPr="008A5CE5">
        <w:rPr>
          <w:color w:val="000000" w:themeColor="text1"/>
        </w:rPr>
        <w:fldChar w:fldCharType="end"/>
      </w:r>
      <w:r w:rsidRPr="008A5CE5">
        <w:rPr>
          <w:color w:val="000000" w:themeColor="text1"/>
        </w:rPr>
        <w:t xml:space="preserve"> into </w:t>
      </w:r>
      <w:r w:rsidRPr="008A5CE5">
        <w:rPr>
          <w:color w:val="000000" w:themeColor="text1"/>
        </w:rPr>
        <w:fldChar w:fldCharType="begin"/>
      </w:r>
      <w:r w:rsidRPr="008A5CE5">
        <w:rPr>
          <w:color w:val="000000" w:themeColor="text1"/>
        </w:rPr>
        <w:instrText xml:space="preserve"> REF _Ref495087588 \h \t \* \MERGEFORMAT </w:instrText>
      </w:r>
      <w:r w:rsidRPr="008A5CE5">
        <w:rPr>
          <w:color w:val="000000" w:themeColor="text1"/>
        </w:rPr>
      </w:r>
      <w:r w:rsidRPr="008A5CE5">
        <w:rPr>
          <w:color w:val="000000" w:themeColor="text1"/>
        </w:rPr>
        <w:fldChar w:fldCharType="separate"/>
      </w:r>
      <w:r w:rsidR="00AB2065" w:rsidRPr="00AB2065">
        <w:rPr>
          <w:color w:val="000000" w:themeColor="text1"/>
        </w:rPr>
        <w:t>(</w:t>
      </w:r>
      <w:r w:rsidR="00AB2065" w:rsidRPr="00AB2065">
        <w:rPr>
          <w:noProof/>
          <w:color w:val="000000" w:themeColor="text1"/>
        </w:rPr>
        <w:t>2-6</w:t>
      </w:r>
      <w:r w:rsidR="00AB2065" w:rsidRPr="00AB2065">
        <w:rPr>
          <w:color w:val="000000" w:themeColor="text1"/>
        </w:rPr>
        <w:t>)</w:t>
      </w:r>
      <w:r w:rsidRPr="008A5CE5">
        <w:rPr>
          <w:color w:val="000000" w:themeColor="text1"/>
        </w:rPr>
        <w:fldChar w:fldCharType="end"/>
      </w:r>
      <w:r>
        <w:t>, yielding</w:t>
      </w:r>
    </w:p>
    <w:p w14:paraId="4DDE9C29" w14:textId="77777777" w:rsidR="002B3AE6" w:rsidRPr="007F36C9" w:rsidRDefault="002B3AE6" w:rsidP="008A5CE5">
      <w:pPr>
        <w:jc w:val="both"/>
        <w:rPr>
          <w:vanish/>
          <w:specVanish/>
        </w:rPr>
      </w:pPr>
      <w:r>
        <w:tab/>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G</m:t>
                    </m:r>
                  </m:e>
                  <m:sub>
                    <m:r>
                      <m:rPr>
                        <m:sty m:val="p"/>
                      </m:rPr>
                      <w:rPr>
                        <w:rFonts w:ascii="Cambria Math" w:hAnsi="Cambria Math"/>
                      </w:rPr>
                      <m:t>3</m:t>
                    </m:r>
                  </m:sub>
                </m:sSub>
              </m:e>
            </m:d>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G</m:t>
                    </m:r>
                  </m:e>
                  <m:sub>
                    <m:r>
                      <m:rPr>
                        <m:sty m:val="p"/>
                      </m:rPr>
                      <w:rPr>
                        <w:rFonts w:ascii="Cambria Math" w:hAnsi="Cambria Math"/>
                      </w:rPr>
                      <m:t>4</m:t>
                    </m:r>
                  </m:sub>
                </m:sSub>
              </m:e>
            </m:d>
          </m:e>
        </m:func>
        <m:r>
          <m:rPr>
            <m:sty m:val="p"/>
          </m:rPr>
          <w:rPr>
            <w:rFonts w:ascii="Cambria Math" w:hAnsi="Cambria Math"/>
          </w:rPr>
          <m:t xml:space="preserve">= </m:t>
        </m:r>
        <m:sSub>
          <m:sSubPr>
            <m:ctrlPr>
              <w:rPr>
                <w:rFonts w:ascii="Cambria Math" w:hAnsi="Cambria Math"/>
              </w:rPr>
            </m:ctrlPr>
          </m:sSubPr>
          <m:e>
            <m:r>
              <w:rPr>
                <w:rFonts w:ascii="Cambria Math" w:hAnsi="Cambria Math"/>
              </w:rPr>
              <m:t>G</m:t>
            </m:r>
          </m:e>
          <m:sub>
            <m:r>
              <m:rPr>
                <m:sty m:val="p"/>
              </m:rPr>
              <w:rPr>
                <w:rFonts w:ascii="Cambria Math" w:hAnsi="Cambria Math"/>
              </w:rPr>
              <m:t>2</m:t>
            </m:r>
          </m:sub>
        </m:sSub>
      </m:oMath>
      <w:r>
        <w:tab/>
      </w:r>
      <w:r>
        <w:tab/>
      </w:r>
    </w:p>
    <w:p w14:paraId="7019B78B" w14:textId="481165CB" w:rsidR="002B3AE6" w:rsidRDefault="002B3AE6" w:rsidP="00C303E4">
      <w:pPr>
        <w:jc w:val="both"/>
      </w:pPr>
      <w:r>
        <w:t xml:space="preserve"> </w:t>
      </w:r>
      <w:bookmarkStart w:id="10" w:name="_Ref495863816"/>
      <w:r>
        <w:t>(</w:t>
      </w:r>
      <w:r>
        <w:fldChar w:fldCharType="begin"/>
      </w:r>
      <w:r>
        <w:instrText xml:space="preserve"> STYLEREF 1 \s </w:instrText>
      </w:r>
      <w:r>
        <w:fldChar w:fldCharType="separate"/>
      </w:r>
      <w:r w:rsidR="00AB2065">
        <w:rPr>
          <w:noProof/>
        </w:rPr>
        <w:t>2</w:t>
      </w:r>
      <w:r>
        <w:rPr>
          <w:noProof/>
        </w:rPr>
        <w:fldChar w:fldCharType="end"/>
      </w:r>
      <w:r>
        <w:t>-</w:t>
      </w:r>
      <w:r>
        <w:fldChar w:fldCharType="begin"/>
      </w:r>
      <w:r>
        <w:instrText xml:space="preserve"> SEQ Equation \* ARABIC \s 1 </w:instrText>
      </w:r>
      <w:r>
        <w:fldChar w:fldCharType="separate"/>
      </w:r>
      <w:r w:rsidR="00AB2065">
        <w:rPr>
          <w:noProof/>
        </w:rPr>
        <w:t>9</w:t>
      </w:r>
      <w:r>
        <w:rPr>
          <w:noProof/>
        </w:rPr>
        <w:fldChar w:fldCharType="end"/>
      </w:r>
      <w:r>
        <w:t>)</w:t>
      </w:r>
      <w:bookmarkEnd w:id="10"/>
    </w:p>
    <w:p w14:paraId="25A349DB" w14:textId="77777777" w:rsidR="002B3AE6" w:rsidRDefault="002B3AE6" w:rsidP="008A5CE5">
      <w:pPr>
        <w:jc w:val="both"/>
      </w:pPr>
      <w:r>
        <w:t>Note that, G</w:t>
      </w:r>
      <w:r w:rsidRPr="00EC2B12">
        <w:rPr>
          <w:sz w:val="26"/>
          <w:vertAlign w:val="subscript"/>
        </w:rPr>
        <w:t>3</w:t>
      </w:r>
      <w:r>
        <w:t>(i)</w:t>
      </w:r>
      <w:r w:rsidR="00CA0096">
        <w:t xml:space="preserve"> </w:t>
      </w:r>
      <w:r>
        <w:t>+</w:t>
      </w:r>
      <w:r w:rsidR="00CA0096">
        <w:t xml:space="preserve"> </w:t>
      </w:r>
      <w:r>
        <w:t>G</w:t>
      </w:r>
      <w:r w:rsidRPr="00EC2B12">
        <w:rPr>
          <w:sz w:val="26"/>
          <w:vertAlign w:val="subscript"/>
        </w:rPr>
        <w:t>4</w:t>
      </w:r>
      <w:r>
        <w:t xml:space="preserve">(i) = GP still holds for individual UEs. </w:t>
      </w:r>
    </w:p>
    <w:p w14:paraId="045521DE" w14:textId="004DFB6A" w:rsidR="002B3AE6" w:rsidRDefault="002B3AE6" w:rsidP="008A5CE5">
      <w:pPr>
        <w:jc w:val="both"/>
      </w:pPr>
      <w:r>
        <w:t xml:space="preserve">For a sub6GHz </w:t>
      </w:r>
      <w:r w:rsidR="004014F6">
        <w:t>NR</w:t>
      </w:r>
      <w:r>
        <w:t xml:space="preserve"> network with 60 KHz subcarrier spacing (SCS), 1000m cell size and GP</w:t>
      </w:r>
      <w:r w:rsidR="00CA0096">
        <w:t xml:space="preserve"> </w:t>
      </w:r>
      <w:r>
        <w:t>= T</w:t>
      </w:r>
      <w:r w:rsidRPr="00117201">
        <w:rPr>
          <w:sz w:val="26"/>
          <w:vertAlign w:val="subscript"/>
        </w:rPr>
        <w:t xml:space="preserve">sym </w:t>
      </w:r>
      <w:r>
        <w:t xml:space="preserve">= 17.84 </w:t>
      </w:r>
      <w:r w:rsidRPr="000C4D53">
        <w:rPr>
          <w:rFonts w:ascii="Symbol" w:hAnsi="Symbol"/>
        </w:rPr>
        <w:t></w:t>
      </w:r>
      <w:r>
        <w:t>s, the recommended system parameters are</w:t>
      </w:r>
    </w:p>
    <w:p w14:paraId="5100E3D1" w14:textId="4683D17F" w:rsidR="002B3AE6" w:rsidRDefault="002B3AE6" w:rsidP="008A5CE5">
      <w:pPr>
        <w:jc w:val="both"/>
      </w:pPr>
      <w:r>
        <w:tab/>
        <w:t>G</w:t>
      </w:r>
      <w:r w:rsidRPr="00117201">
        <w:rPr>
          <w:sz w:val="24"/>
          <w:vertAlign w:val="subscript"/>
        </w:rPr>
        <w:t>1</w:t>
      </w:r>
      <w:r>
        <w:t xml:space="preserve"> = 12.25 </w:t>
      </w:r>
      <w:r w:rsidRPr="00117201">
        <w:rPr>
          <w:rFonts w:ascii="Symbol" w:hAnsi="Symbol"/>
        </w:rPr>
        <w:t></w:t>
      </w:r>
      <w:r>
        <w:t>s</w:t>
      </w:r>
      <w:r w:rsidR="00DE4FED">
        <w:t xml:space="preserve">  </w:t>
      </w:r>
    </w:p>
    <w:p w14:paraId="2A309C2C" w14:textId="5057CEB7" w:rsidR="002B3AE6" w:rsidRDefault="002B3AE6" w:rsidP="008A5CE5">
      <w:pPr>
        <w:jc w:val="both"/>
      </w:pPr>
      <w:r>
        <w:tab/>
        <w:t>G</w:t>
      </w:r>
      <w:r w:rsidRPr="00117201">
        <w:rPr>
          <w:sz w:val="26"/>
          <w:vertAlign w:val="subscript"/>
        </w:rPr>
        <w:t>2</w:t>
      </w:r>
      <w:r>
        <w:t xml:space="preserve"> = TA</w:t>
      </w:r>
      <w:r w:rsidRPr="00117201">
        <w:rPr>
          <w:sz w:val="26"/>
          <w:vertAlign w:val="subscript"/>
        </w:rPr>
        <w:t>offset</w:t>
      </w:r>
      <w:r>
        <w:t xml:space="preserve"> = min(G</w:t>
      </w:r>
      <w:r w:rsidRPr="00117201">
        <w:rPr>
          <w:sz w:val="26"/>
          <w:vertAlign w:val="subscript"/>
        </w:rPr>
        <w:t>3</w:t>
      </w:r>
      <w:r>
        <w:t>) = min(G</w:t>
      </w:r>
      <w:r w:rsidRPr="00117201">
        <w:rPr>
          <w:sz w:val="26"/>
          <w:vertAlign w:val="subscript"/>
        </w:rPr>
        <w:t>4</w:t>
      </w:r>
      <w:r>
        <w:t>)</w:t>
      </w:r>
      <w:r w:rsidR="00DE4FED">
        <w:t xml:space="preserve"> </w:t>
      </w:r>
      <w:r>
        <w:t xml:space="preserve">= 5.58 </w:t>
      </w:r>
      <w:r w:rsidRPr="00117201">
        <w:rPr>
          <w:rFonts w:ascii="Symbol" w:hAnsi="Symbol"/>
        </w:rPr>
        <w:t></w:t>
      </w:r>
      <w:r>
        <w:t>s</w:t>
      </w:r>
      <w:r w:rsidR="00DE4FED">
        <w:t xml:space="preserve"> </w:t>
      </w:r>
    </w:p>
    <w:p w14:paraId="25E41642" w14:textId="0B35B318" w:rsidR="002B3AE6" w:rsidRDefault="002B3AE6" w:rsidP="008A5CE5">
      <w:pPr>
        <w:jc w:val="both"/>
      </w:pPr>
      <w:r>
        <w:tab/>
        <w:t>G</w:t>
      </w:r>
      <w:r w:rsidRPr="00EC2B12">
        <w:rPr>
          <w:sz w:val="26"/>
          <w:vertAlign w:val="subscript"/>
        </w:rPr>
        <w:t>3</w:t>
      </w:r>
      <w:r>
        <w:t>(i)</w:t>
      </w:r>
      <w:r w:rsidR="00CA0096">
        <w:t xml:space="preserve"> </w:t>
      </w:r>
      <w:r>
        <w:t>+</w:t>
      </w:r>
      <w:r w:rsidR="00CA0096">
        <w:t xml:space="preserve"> </w:t>
      </w:r>
      <w:r>
        <w:t>G</w:t>
      </w:r>
      <w:r w:rsidRPr="00EC2B12">
        <w:rPr>
          <w:sz w:val="26"/>
          <w:vertAlign w:val="subscript"/>
        </w:rPr>
        <w:t>4</w:t>
      </w:r>
      <w:r>
        <w:t xml:space="preserve">(i) = GP = 17.84 </w:t>
      </w:r>
      <w:r w:rsidRPr="00EC2B12">
        <w:rPr>
          <w:rFonts w:ascii="Symbol" w:hAnsi="Symbol"/>
        </w:rPr>
        <w:t></w:t>
      </w:r>
      <w:r>
        <w:t>s</w:t>
      </w:r>
      <w:r w:rsidR="006A7050">
        <w:t>.</w:t>
      </w:r>
    </w:p>
    <w:p w14:paraId="3A36A663" w14:textId="77777777" w:rsidR="002924EC" w:rsidRPr="002924EC" w:rsidRDefault="002924EC" w:rsidP="002924EC"/>
    <w:p w14:paraId="5D99F795" w14:textId="77777777" w:rsidR="00B607A1" w:rsidRDefault="002B3AE6" w:rsidP="00B607A1">
      <w:pPr>
        <w:pStyle w:val="Heading2"/>
        <w:rPr>
          <w:lang w:val="en-US"/>
        </w:rPr>
      </w:pPr>
      <w:r>
        <w:rPr>
          <w:lang w:val="en-US"/>
        </w:rPr>
        <w:t>Cell frame timing error</w:t>
      </w:r>
    </w:p>
    <w:p w14:paraId="76BC043D" w14:textId="0C78CF39" w:rsidR="004C72FB" w:rsidRPr="001B6C66" w:rsidRDefault="004C72FB" w:rsidP="008A5CE5">
      <w:pPr>
        <w:jc w:val="both"/>
      </w:pPr>
      <w:r w:rsidRPr="001B6C66">
        <w:t xml:space="preserve">As mentioned earlier, the cell frame boundaries of eNBs in a TDD network need to align precisely. Absence of this would cause intercell interference. The intercell interference can be categorized into four types </w:t>
      </w:r>
      <w:r w:rsidR="00101A17">
        <w:t xml:space="preserve">which will </w:t>
      </w:r>
      <w:r w:rsidRPr="001B6C66">
        <w:t>label as Case I, II, III and IV.</w:t>
      </w:r>
    </w:p>
    <w:p w14:paraId="25FB94B1" w14:textId="11B281D2" w:rsidR="004C72FB" w:rsidRDefault="004C72FB" w:rsidP="004C72FB">
      <w:pPr>
        <w:pStyle w:val="Heading3"/>
      </w:pPr>
      <w:r>
        <w:t xml:space="preserve">Case I: </w:t>
      </w:r>
      <w:r w:rsidRPr="00397148">
        <w:t>BS to BS interference during DL to UL switch</w:t>
      </w:r>
    </w:p>
    <w:p w14:paraId="3F841FF2" w14:textId="43BFABB8" w:rsidR="004C72FB" w:rsidRPr="001B6C66" w:rsidRDefault="004C72FB" w:rsidP="008A5CE5">
      <w:pPr>
        <w:jc w:val="both"/>
      </w:pPr>
      <w:r w:rsidRPr="001B6C66">
        <w:t>Consider the two cell</w:t>
      </w:r>
      <w:r w:rsidR="00101A17" w:rsidRPr="001B6C66">
        <w:t>s</w:t>
      </w:r>
      <w:r w:rsidRPr="001B6C66">
        <w:t xml:space="preserve"> scenario depicted i</w:t>
      </w:r>
      <w:r w:rsidR="00101A17" w:rsidRPr="001B6C66">
        <w:t xml:space="preserve">n </w:t>
      </w:r>
      <w:r w:rsidR="00101A17" w:rsidRPr="001B6C66">
        <w:fldChar w:fldCharType="begin"/>
      </w:r>
      <w:r w:rsidR="00101A17" w:rsidRPr="001B6C66">
        <w:instrText xml:space="preserve"> REF _Ref503453424 \h  \* MERGEFORMAT </w:instrText>
      </w:r>
      <w:r w:rsidR="00101A17" w:rsidRPr="001B6C66">
        <w:fldChar w:fldCharType="separate"/>
      </w:r>
      <w:r w:rsidR="00AB2065">
        <w:t xml:space="preserve">Figure </w:t>
      </w:r>
      <w:r w:rsidR="00AB2065">
        <w:rPr>
          <w:noProof/>
        </w:rPr>
        <w:t>3</w:t>
      </w:r>
      <w:r w:rsidR="00101A17" w:rsidRPr="001B6C66">
        <w:fldChar w:fldCharType="end"/>
      </w:r>
      <w:r w:rsidR="00101A17" w:rsidRPr="001B6C66">
        <w:t xml:space="preserve">, </w:t>
      </w:r>
      <w:r w:rsidRPr="001B6C66">
        <w:t>where UE1 and UE2 are being served by two neighboring cells BS1 and BS2, respectively. Assume that the subframe boundaries of the two BSs are not perfectly aligned and that there is a fixed time offset of T</w:t>
      </w:r>
      <w:r w:rsidRPr="008A5CE5">
        <w:rPr>
          <w:vertAlign w:val="subscript"/>
        </w:rPr>
        <w:t>err</w:t>
      </w:r>
      <w:r w:rsidRPr="001B6C66">
        <w:t xml:space="preserve"> (</w:t>
      </w:r>
      <w:r w:rsidRPr="001B6C66">
        <w:rPr>
          <w:rFonts w:ascii="Symbol" w:hAnsi="Symbol"/>
        </w:rPr>
        <w:t></w:t>
      </w:r>
      <w:r w:rsidRPr="001B6C66">
        <w:t>s) between the two.</w:t>
      </w:r>
      <w:r w:rsidR="00DE4FED">
        <w:t xml:space="preserve"> </w:t>
      </w:r>
    </w:p>
    <w:p w14:paraId="4ACA51FE" w14:textId="3E3925AA" w:rsidR="004C72FB" w:rsidRPr="001B6C66" w:rsidRDefault="004C72FB" w:rsidP="008A5CE5">
      <w:pPr>
        <w:jc w:val="both"/>
      </w:pPr>
      <w:r w:rsidRPr="001B6C66">
        <w:t>Case I type of BS to BS interference deals with the portion of the BS2 DL signal that may overlap with the UE1 UL signal received at BS1. Even if the DL</w:t>
      </w:r>
      <w:r w:rsidRPr="001B6C66">
        <w:sym w:font="Wingdings 3" w:char="F031"/>
      </w:r>
      <w:r w:rsidR="00DE4FED">
        <w:t xml:space="preserve"> </w:t>
      </w:r>
      <w:r w:rsidRPr="001B6C66">
        <w:t xml:space="preserve">UL gaps are set according to the guidelines depicted in section </w:t>
      </w:r>
      <w:r w:rsidR="00101A17">
        <w:fldChar w:fldCharType="begin"/>
      </w:r>
      <w:r w:rsidR="00101A17">
        <w:instrText xml:space="preserve"> REF _Ref503453621 \r \h </w:instrText>
      </w:r>
      <w:r w:rsidR="001B6C66">
        <w:instrText xml:space="preserve"> \* MERGEFORMAT </w:instrText>
      </w:r>
      <w:r w:rsidR="00101A17">
        <w:fldChar w:fldCharType="separate"/>
      </w:r>
      <w:r w:rsidR="00AB2065">
        <w:t>2.1</w:t>
      </w:r>
      <w:r w:rsidR="00101A17">
        <w:fldChar w:fldCharType="end"/>
      </w:r>
      <w:r w:rsidR="00101A17">
        <w:t xml:space="preserve">, </w:t>
      </w:r>
      <w:r w:rsidRPr="001B6C66">
        <w:t xml:space="preserve">cell timing misalignment between BS1 and BS2 could create intercell interference between the two. </w:t>
      </w:r>
    </w:p>
    <w:p w14:paraId="4EB85743" w14:textId="77777777" w:rsidR="004C72FB" w:rsidRPr="001B6C66" w:rsidRDefault="004C72FB" w:rsidP="008A5CE5">
      <w:pPr>
        <w:jc w:val="both"/>
      </w:pPr>
      <w:r w:rsidRPr="001B6C66">
        <w:t xml:space="preserve">In order to prevent this interference, the end of BS2’s DL signal (incl. the RF transient) should arrive at BS1 before UE1’s UL signal does. This is shown with a green arrow in the figure. The gap between the end of the interference and the arrival of the UL SF at BS1 sets the upper bound for the timing alignment error between the two BSs. In other words, </w:t>
      </w:r>
    </w:p>
    <w:p w14:paraId="10F884F4" w14:textId="77777777" w:rsidR="004C72FB" w:rsidRPr="001B6C66" w:rsidRDefault="004C72FB" w:rsidP="008A5CE5">
      <w:pPr>
        <w:jc w:val="both"/>
        <w:rPr>
          <w:highlight w:val="lightGray"/>
        </w:rPr>
      </w:pPr>
      <w:r w:rsidRPr="001B6C66">
        <w:tab/>
      </w:r>
      <m:oMath>
        <m:sSub>
          <m:sSubPr>
            <m:ctrlPr>
              <w:rPr>
                <w:rFonts w:ascii="Cambria Math" w:hAnsi="Cambria Math"/>
                <w:i/>
                <w:highlight w:val="lightGray"/>
              </w:rPr>
            </m:ctrlPr>
          </m:sSub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err</m:t>
                </m:r>
              </m:sub>
            </m:sSub>
            <m:r>
              <w:rPr>
                <w:rFonts w:ascii="Cambria Math" w:hAnsi="Cambria Math"/>
                <w:highlight w:val="lightGray"/>
              </w:rPr>
              <m:t xml:space="preserve"> ≤ G</m:t>
            </m:r>
          </m:e>
          <m:sub>
            <m:r>
              <w:rPr>
                <w:rFonts w:ascii="Cambria Math" w:hAnsi="Cambria Math"/>
                <w:highlight w:val="lightGray"/>
              </w:rPr>
              <m:t>1</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BS</m:t>
            </m:r>
          </m:e>
          <m:sub>
            <m:r>
              <w:rPr>
                <w:rFonts w:ascii="Cambria Math" w:hAnsi="Cambria Math"/>
                <w:highlight w:val="lightGray"/>
              </w:rPr>
              <m:t>TXoff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BS2BS</m:t>
            </m:r>
          </m:sub>
        </m:sSub>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CP</m:t>
            </m:r>
          </m:e>
          <m:sub>
            <m:r>
              <w:rPr>
                <w:rFonts w:ascii="Cambria Math" w:hAnsi="Cambria Math"/>
                <w:highlight w:val="lightGray"/>
              </w:rPr>
              <m:t>len</m:t>
            </m:r>
          </m:sub>
        </m:sSub>
      </m:oMath>
    </w:p>
    <w:p w14:paraId="29112F6D" w14:textId="10DAE71A" w:rsidR="004C72FB" w:rsidRPr="001B6C66" w:rsidRDefault="004C72FB" w:rsidP="008A5CE5">
      <w:pPr>
        <w:jc w:val="both"/>
        <w:rPr>
          <w:vanish/>
          <w:specVanish/>
        </w:rPr>
      </w:pPr>
      <w:r w:rsidRPr="001B6C66">
        <w:rPr>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err</m:t>
            </m:r>
          </m:sub>
        </m:sSub>
        <m:r>
          <w:rPr>
            <w:rFonts w:ascii="Cambria Math" w:hAnsi="Cambria Math"/>
            <w:highlight w:val="lightGray"/>
          </w:rPr>
          <m:t xml:space="preserve"> ≤ GP-</m:t>
        </m:r>
        <m:sSub>
          <m:sSubPr>
            <m:ctrlPr>
              <w:rPr>
                <w:rFonts w:ascii="Cambria Math" w:hAnsi="Cambria Math"/>
                <w:i/>
                <w:highlight w:val="lightGray"/>
              </w:rPr>
            </m:ctrlPr>
          </m:sSubPr>
          <m:e>
            <m:sSub>
              <m:sSubPr>
                <m:ctrlPr>
                  <w:rPr>
                    <w:rFonts w:ascii="Cambria Math" w:hAnsi="Cambria Math"/>
                    <w:i/>
                    <w:highlight w:val="lightGray"/>
                  </w:rPr>
                </m:ctrlPr>
              </m:sSubPr>
              <m:e>
                <m:r>
                  <w:rPr>
                    <w:rFonts w:ascii="Cambria Math" w:hAnsi="Cambria Math"/>
                    <w:highlight w:val="lightGray"/>
                  </w:rPr>
                  <m:t>TA</m:t>
                </m:r>
              </m:e>
              <m:sub>
                <m:r>
                  <w:rPr>
                    <w:rFonts w:ascii="Cambria Math" w:hAnsi="Cambria Math"/>
                    <w:highlight w:val="lightGray"/>
                  </w:rPr>
                  <m:t>offset</m:t>
                </m:r>
              </m:sub>
            </m:sSub>
            <m:r>
              <w:rPr>
                <w:rFonts w:ascii="Cambria Math" w:hAnsi="Cambria Math"/>
                <w:highlight w:val="lightGray"/>
              </w:rPr>
              <m:t>-BS</m:t>
            </m:r>
          </m:e>
          <m:sub>
            <m:r>
              <w:rPr>
                <w:rFonts w:ascii="Cambria Math" w:hAnsi="Cambria Math"/>
                <w:highlight w:val="lightGray"/>
              </w:rPr>
              <m:t>TXoff</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BS2BS</m:t>
            </m:r>
          </m:sub>
        </m:sSub>
        <m:sSub>
          <m:sSubPr>
            <m:ctrlPr>
              <w:rPr>
                <w:rFonts w:ascii="Cambria Math" w:hAnsi="Cambria Math"/>
                <w:i/>
                <w:highlight w:val="lightGray"/>
              </w:rPr>
            </m:ctrlPr>
          </m:sSubPr>
          <m:e>
            <m:r>
              <w:rPr>
                <w:rFonts w:ascii="Cambria Math" w:hAnsi="Cambria Math"/>
                <w:highlight w:val="lightGray"/>
              </w:rPr>
              <m:t>+CP</m:t>
            </m:r>
          </m:e>
          <m:sub>
            <m:r>
              <w:rPr>
                <w:rFonts w:ascii="Cambria Math" w:hAnsi="Cambria Math"/>
                <w:highlight w:val="lightGray"/>
              </w:rPr>
              <m:t>len</m:t>
            </m:r>
          </m:sub>
        </m:sSub>
      </m:oMath>
      <w:r w:rsidR="00DE4FED">
        <w:t xml:space="preserve"> </w:t>
      </w:r>
      <w:r w:rsidRPr="001B6C66">
        <w:tab/>
      </w:r>
      <w:r w:rsidRPr="001B6C66">
        <w:tab/>
      </w:r>
    </w:p>
    <w:p w14:paraId="13553793" w14:textId="0A227011" w:rsidR="004C72FB" w:rsidRPr="001B6C66" w:rsidRDefault="004C72FB" w:rsidP="008A5CE5">
      <w:pPr>
        <w:jc w:val="both"/>
      </w:pPr>
      <w:r w:rsidRPr="001B6C66">
        <w:t xml:space="preserve"> (</w:t>
      </w:r>
      <w:r w:rsidRPr="001B6C66">
        <w:fldChar w:fldCharType="begin"/>
      </w:r>
      <w:r w:rsidRPr="001B6C66">
        <w:instrText xml:space="preserve"> STYLEREF 1 \s </w:instrText>
      </w:r>
      <w:r w:rsidRPr="001B6C66">
        <w:fldChar w:fldCharType="separate"/>
      </w:r>
      <w:r w:rsidR="00AB2065">
        <w:rPr>
          <w:noProof/>
        </w:rPr>
        <w:t>2</w:t>
      </w:r>
      <w:r w:rsidRPr="001B6C66">
        <w:rPr>
          <w:noProof/>
        </w:rPr>
        <w:fldChar w:fldCharType="end"/>
      </w:r>
      <w:r w:rsidRPr="001B6C66">
        <w:t>-</w:t>
      </w:r>
      <w:r w:rsidRPr="001B6C66">
        <w:fldChar w:fldCharType="begin"/>
      </w:r>
      <w:r w:rsidRPr="001B6C66">
        <w:instrText xml:space="preserve"> SEQ Equation \* ARABIC \s 1 </w:instrText>
      </w:r>
      <w:r w:rsidRPr="001B6C66">
        <w:fldChar w:fldCharType="separate"/>
      </w:r>
      <w:r w:rsidR="00AB2065">
        <w:rPr>
          <w:noProof/>
        </w:rPr>
        <w:t>10</w:t>
      </w:r>
      <w:r w:rsidRPr="001B6C66">
        <w:rPr>
          <w:noProof/>
        </w:rPr>
        <w:fldChar w:fldCharType="end"/>
      </w:r>
      <w:r w:rsidRPr="001B6C66">
        <w:t>)</w:t>
      </w:r>
    </w:p>
    <w:p w14:paraId="4741C71D" w14:textId="129ABDD0" w:rsidR="004C72FB" w:rsidRPr="001B6C66" w:rsidRDefault="004C72FB" w:rsidP="008A5CE5">
      <w:pPr>
        <w:jc w:val="both"/>
      </w:pPr>
      <w:r w:rsidRPr="001B6C66">
        <w:lastRenderedPageBreak/>
        <w:t>Here T</w:t>
      </w:r>
      <w:r w:rsidRPr="008A5CE5">
        <w:rPr>
          <w:vertAlign w:val="subscript"/>
        </w:rPr>
        <w:t>BS2BS</w:t>
      </w:r>
      <w:r w:rsidRPr="001B6C66">
        <w:t xml:space="preserve"> represents the propagation time between the two BSs. BS</w:t>
      </w:r>
      <w:r w:rsidRPr="008A5CE5">
        <w:rPr>
          <w:vertAlign w:val="subscript"/>
        </w:rPr>
        <w:t xml:space="preserve">TXoff </w:t>
      </w:r>
      <w:r w:rsidRPr="001B6C66">
        <w:t>is the BS Tx turn off time. As far as the maximum allowed timing error T</w:t>
      </w:r>
      <w:r w:rsidRPr="008A5CE5">
        <w:rPr>
          <w:vertAlign w:val="subscript"/>
        </w:rPr>
        <w:t>err</w:t>
      </w:r>
      <w:r w:rsidRPr="001B6C66">
        <w:t xml:space="preserve"> goes the worst case scenario is when BS’s are far apart, i.e. T</w:t>
      </w:r>
      <w:r w:rsidRPr="008A5CE5">
        <w:rPr>
          <w:vertAlign w:val="subscript"/>
        </w:rPr>
        <w:t>BS2BS</w:t>
      </w:r>
      <w:r w:rsidRPr="001B6C66">
        <w:t xml:space="preserve"> is large. This leaves the smallest T</w:t>
      </w:r>
      <w:r w:rsidRPr="008A5CE5">
        <w:rPr>
          <w:vertAlign w:val="subscript"/>
        </w:rPr>
        <w:t>err</w:t>
      </w:r>
      <w:r w:rsidRPr="001B6C66">
        <w:t xml:space="preserve"> ceiling.</w:t>
      </w:r>
    </w:p>
    <w:p w14:paraId="2AC58F2E" w14:textId="77777777" w:rsidR="00101A17" w:rsidRDefault="004C72FB" w:rsidP="008A5CE5">
      <w:pPr>
        <w:keepNext/>
        <w:ind w:left="-720"/>
        <w:jc w:val="center"/>
      </w:pPr>
      <w:r>
        <w:rPr>
          <w:noProof/>
        </w:rPr>
        <w:drawing>
          <wp:inline distT="0" distB="0" distL="0" distR="0" wp14:anchorId="387FBDF5" wp14:editId="55322094">
            <wp:extent cx="6520502" cy="2957513"/>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530634" cy="2962108"/>
                    </a:xfrm>
                    <a:prstGeom prst="rect">
                      <a:avLst/>
                    </a:prstGeom>
                  </pic:spPr>
                </pic:pic>
              </a:graphicData>
            </a:graphic>
          </wp:inline>
        </w:drawing>
      </w:r>
    </w:p>
    <w:p w14:paraId="41806CAA" w14:textId="38CEA42A" w:rsidR="004C72FB" w:rsidRDefault="00101A17" w:rsidP="008A5CE5">
      <w:pPr>
        <w:pStyle w:val="Caption"/>
        <w:jc w:val="center"/>
        <w:rPr>
          <w:lang w:eastAsia="ja-JP"/>
        </w:rPr>
      </w:pPr>
      <w:bookmarkStart w:id="11" w:name="_Ref503453424"/>
      <w:r>
        <w:t xml:space="preserve">Figure </w:t>
      </w:r>
      <w:r>
        <w:fldChar w:fldCharType="begin"/>
      </w:r>
      <w:r>
        <w:instrText xml:space="preserve"> SEQ Figure \* ARABIC </w:instrText>
      </w:r>
      <w:r>
        <w:fldChar w:fldCharType="separate"/>
      </w:r>
      <w:r w:rsidR="00AB2065">
        <w:rPr>
          <w:noProof/>
        </w:rPr>
        <w:t>3</w:t>
      </w:r>
      <w:r>
        <w:fldChar w:fldCharType="end"/>
      </w:r>
      <w:bookmarkEnd w:id="11"/>
      <w:r>
        <w:t>.</w:t>
      </w:r>
      <w:r w:rsidRPr="00101A17">
        <w:t xml:space="preserve"> </w:t>
      </w:r>
      <w:r>
        <w:t>BS to BS interference during DL to UL switch.</w:t>
      </w:r>
    </w:p>
    <w:p w14:paraId="7B909FA1" w14:textId="2183E36E" w:rsidR="004C72FB" w:rsidRDefault="004C72FB" w:rsidP="004C72FB">
      <w:pPr>
        <w:pStyle w:val="Heading3"/>
      </w:pPr>
      <w:r>
        <w:t xml:space="preserve">Case II: </w:t>
      </w:r>
      <w:r w:rsidRPr="00397148">
        <w:t xml:space="preserve">BS to BS interference during </w:t>
      </w:r>
      <w:r>
        <w:t>UL to DL switch</w:t>
      </w:r>
    </w:p>
    <w:p w14:paraId="7648D168" w14:textId="6469E222" w:rsidR="004C72FB" w:rsidRPr="001B6C66" w:rsidRDefault="004C72FB" w:rsidP="008A5CE5">
      <w:pPr>
        <w:jc w:val="both"/>
      </w:pPr>
      <w:r w:rsidRPr="001B6C66">
        <w:t>In this type of intercell interference</w:t>
      </w:r>
      <w:r w:rsidR="00DE4FED" w:rsidRPr="001B6C66">
        <w:t xml:space="preserve"> </w:t>
      </w:r>
      <w:r w:rsidRPr="001B6C66">
        <w:t>the beginning of the BS2’s DL signal overlaps with the end portion of the received UL signal at BS1</w:t>
      </w:r>
      <w:r w:rsidR="00DE4FED">
        <w:t xml:space="preserve"> (</w:t>
      </w:r>
      <w:r w:rsidR="00DE4FED">
        <w:fldChar w:fldCharType="begin"/>
      </w:r>
      <w:r w:rsidR="00DE4FED">
        <w:instrText xml:space="preserve"> REF _Ref503455418 \h  \* MERGEFORMAT </w:instrText>
      </w:r>
      <w:r w:rsidR="00DE4FED">
        <w:fldChar w:fldCharType="separate"/>
      </w:r>
      <w:r w:rsidR="00AB2065">
        <w:t xml:space="preserve">Figure </w:t>
      </w:r>
      <w:r w:rsidR="00AB2065">
        <w:rPr>
          <w:noProof/>
        </w:rPr>
        <w:t>4</w:t>
      </w:r>
      <w:r w:rsidR="00DE4FED">
        <w:fldChar w:fldCharType="end"/>
      </w:r>
      <w:r w:rsidR="00DE4FED">
        <w:t>)</w:t>
      </w:r>
      <w:r w:rsidRPr="001B6C66">
        <w:t>. To prevent the interference from happening,</w:t>
      </w:r>
      <w:r w:rsidR="00DE4FED" w:rsidRPr="001B6C66">
        <w:t xml:space="preserve"> </w:t>
      </w:r>
      <w:r w:rsidRPr="001B6C66">
        <w:t>the beginning of BS2’s</w:t>
      </w:r>
      <w:r w:rsidR="00DE4FED" w:rsidRPr="001B6C66">
        <w:t xml:space="preserve"> </w:t>
      </w:r>
      <w:r w:rsidRPr="001B6C66">
        <w:t>DL signal should arrive at BS1 after the end of UE1’s UL signal does (green line). This leaves a cell timing error budget of</w:t>
      </w:r>
      <w:r w:rsidR="00DE4FED">
        <w:t>:</w:t>
      </w:r>
      <w:r w:rsidRPr="001B6C66">
        <w:t xml:space="preserve"> </w:t>
      </w:r>
    </w:p>
    <w:p w14:paraId="62966E9A" w14:textId="77777777" w:rsidR="004C72FB" w:rsidRPr="001B6C66" w:rsidRDefault="004C72FB" w:rsidP="008A5CE5">
      <w:pPr>
        <w:jc w:val="both"/>
        <w:rPr>
          <w:rFonts w:eastAsia="SimSun"/>
          <w:vanish/>
          <w:specVanish/>
        </w:rPr>
      </w:pPr>
      <w:r w:rsidRPr="001B6C66">
        <w:rPr>
          <w:rFonts w:eastAsia="SimSun"/>
        </w:rPr>
        <w:tab/>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err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BS2BS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BS</m:t>
            </m:r>
          </m:e>
          <m:sub>
            <m:r>
              <w:rPr>
                <w:rFonts w:ascii="Cambria Math" w:eastAsia="SimSun" w:hAnsi="Cambria Math"/>
              </w:rPr>
              <m:t>TXon</m:t>
            </m:r>
          </m:sub>
        </m:sSub>
        <m: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rPr>
              <m:t>TA</m:t>
            </m:r>
          </m:e>
          <m:sub>
            <m:r>
              <w:rPr>
                <w:rFonts w:ascii="Cambria Math" w:eastAsia="SimSun" w:hAnsi="Cambria Math"/>
              </w:rPr>
              <m:t>offset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BS2BS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BS</m:t>
            </m:r>
          </m:e>
          <m:sub>
            <m:r>
              <w:rPr>
                <w:rFonts w:ascii="Cambria Math" w:eastAsia="SimSun" w:hAnsi="Cambria Math"/>
              </w:rPr>
              <m:t>TXon</m:t>
            </m:r>
          </m:sub>
        </m:sSub>
      </m:oMath>
      <w:r w:rsidRPr="001B6C66">
        <w:rPr>
          <w:rFonts w:eastAsia="SimSun"/>
        </w:rPr>
        <w:tab/>
      </w:r>
      <w:r w:rsidRPr="001B6C66">
        <w:rPr>
          <w:rFonts w:eastAsia="SimSun"/>
        </w:rPr>
        <w:tab/>
      </w:r>
    </w:p>
    <w:p w14:paraId="401DF278" w14:textId="4624CDF4" w:rsidR="004C72FB" w:rsidRPr="001B6C66" w:rsidRDefault="004C72FB" w:rsidP="008A5CE5">
      <w:pPr>
        <w:jc w:val="both"/>
        <w:rPr>
          <w:rFonts w:eastAsia="SimSun"/>
        </w:rPr>
      </w:pPr>
      <w:r w:rsidRPr="001B6C66">
        <w:rPr>
          <w:rFonts w:eastAsia="SimSun"/>
        </w:rPr>
        <w:t xml:space="preserve"> (</w:t>
      </w:r>
      <w:r w:rsidRPr="001B6C66">
        <w:rPr>
          <w:rFonts w:eastAsia="SimSun"/>
        </w:rPr>
        <w:fldChar w:fldCharType="begin"/>
      </w:r>
      <w:r w:rsidRPr="001B6C66">
        <w:rPr>
          <w:rFonts w:eastAsia="SimSun"/>
        </w:rPr>
        <w:instrText xml:space="preserve"> STYLEREF 1 \s </w:instrText>
      </w:r>
      <w:r w:rsidRPr="001B6C66">
        <w:rPr>
          <w:rFonts w:eastAsia="SimSun"/>
        </w:rPr>
        <w:fldChar w:fldCharType="separate"/>
      </w:r>
      <w:r w:rsidR="00AB2065">
        <w:rPr>
          <w:rFonts w:eastAsia="SimSun"/>
          <w:noProof/>
        </w:rPr>
        <w:t>2</w:t>
      </w:r>
      <w:r w:rsidRPr="001B6C66">
        <w:rPr>
          <w:rFonts w:eastAsia="SimSun"/>
        </w:rPr>
        <w:fldChar w:fldCharType="end"/>
      </w:r>
      <w:r w:rsidRPr="001B6C66">
        <w:rPr>
          <w:rFonts w:eastAsia="SimSun"/>
        </w:rPr>
        <w:t>-</w:t>
      </w:r>
      <w:r w:rsidRPr="001B6C66">
        <w:rPr>
          <w:rFonts w:eastAsia="SimSun"/>
        </w:rPr>
        <w:fldChar w:fldCharType="begin"/>
      </w:r>
      <w:r w:rsidRPr="001B6C66">
        <w:rPr>
          <w:rFonts w:eastAsia="SimSun"/>
        </w:rPr>
        <w:instrText xml:space="preserve"> SEQ Equation \* ARABIC \s 1 </w:instrText>
      </w:r>
      <w:r w:rsidRPr="001B6C66">
        <w:rPr>
          <w:rFonts w:eastAsia="SimSun"/>
        </w:rPr>
        <w:fldChar w:fldCharType="separate"/>
      </w:r>
      <w:r w:rsidR="00AB2065">
        <w:rPr>
          <w:rFonts w:eastAsia="SimSun"/>
          <w:noProof/>
        </w:rPr>
        <w:t>11</w:t>
      </w:r>
      <w:r w:rsidRPr="001B6C66">
        <w:rPr>
          <w:rFonts w:eastAsia="SimSun"/>
        </w:rPr>
        <w:fldChar w:fldCharType="end"/>
      </w:r>
      <w:r w:rsidRPr="001B6C66">
        <w:rPr>
          <w:rFonts w:eastAsia="SimSun"/>
        </w:rPr>
        <w:t>)</w:t>
      </w:r>
    </w:p>
    <w:p w14:paraId="57EBCE58" w14:textId="77777777" w:rsidR="004C72FB" w:rsidRPr="001B6C66" w:rsidRDefault="004C72FB" w:rsidP="008A5CE5">
      <w:pPr>
        <w:jc w:val="both"/>
      </w:pPr>
      <w:r w:rsidRPr="001B6C66">
        <w:t>The worst case scenario occurs when the BSs are collocated (i.e. T</w:t>
      </w:r>
      <w:r w:rsidRPr="008A5CE5">
        <w:rPr>
          <w:vertAlign w:val="subscript"/>
        </w:rPr>
        <w:t>BS2BS</w:t>
      </w:r>
      <w:r w:rsidRPr="001B6C66">
        <w:t xml:space="preserve"> = 0). With this</w:t>
      </w:r>
    </w:p>
    <w:p w14:paraId="0C57DD44" w14:textId="77777777" w:rsidR="004C72FB" w:rsidRPr="001B6C66" w:rsidRDefault="004C72FB" w:rsidP="008A5CE5">
      <w:pPr>
        <w:jc w:val="both"/>
        <w:rPr>
          <w:vanish/>
          <w:specVanish/>
        </w:rPr>
      </w:pPr>
      <w:r w:rsidRPr="001B6C66">
        <w:tab/>
      </w:r>
      <m:oMath>
        <m:sSub>
          <m:sSubPr>
            <m:ctrlPr>
              <w:rPr>
                <w:rFonts w:ascii="Cambria Math" w:eastAsia="SimSun" w:hAnsi="Cambria Math"/>
                <w:i/>
                <w:highlight w:val="lightGray"/>
              </w:rPr>
            </m:ctrlPr>
          </m:sSubPr>
          <m:e>
            <m:sSub>
              <m:sSubPr>
                <m:ctrlPr>
                  <w:rPr>
                    <w:rFonts w:ascii="Cambria Math" w:eastAsia="SimSun" w:hAnsi="Cambria Math"/>
                    <w:i/>
                    <w:highlight w:val="lightGray"/>
                  </w:rPr>
                </m:ctrlPr>
              </m:sSubPr>
              <m:e>
                <m:r>
                  <w:rPr>
                    <w:rFonts w:ascii="Cambria Math" w:eastAsia="SimSun" w:hAnsi="Cambria Math"/>
                    <w:highlight w:val="lightGray"/>
                  </w:rPr>
                  <m:t>T</m:t>
                </m:r>
              </m:e>
              <m:sub>
                <m:r>
                  <w:rPr>
                    <w:rFonts w:ascii="Cambria Math" w:eastAsia="SimSun" w:hAnsi="Cambria Math"/>
                    <w:highlight w:val="lightGray"/>
                  </w:rPr>
                  <m:t>err</m:t>
                </m:r>
              </m:sub>
            </m:sSub>
            <m:r>
              <w:rPr>
                <w:rFonts w:ascii="Cambria Math" w:eastAsia="SimSun" w:hAnsi="Cambria Math"/>
                <w:highlight w:val="lightGray"/>
              </w:rPr>
              <m:t>≤TA</m:t>
            </m:r>
          </m:e>
          <m:sub>
            <m:r>
              <w:rPr>
                <w:rFonts w:ascii="Cambria Math" w:eastAsia="SimSun" w:hAnsi="Cambria Math"/>
                <w:highlight w:val="lightGray"/>
              </w:rPr>
              <m:t>offset</m:t>
            </m:r>
          </m:sub>
        </m:sSub>
        <m:r>
          <w:rPr>
            <w:rFonts w:ascii="Cambria Math" w:eastAsia="SimSun" w:hAnsi="Cambria Math"/>
            <w:highlight w:val="lightGray"/>
          </w:rPr>
          <m:t>-</m:t>
        </m:r>
        <m:sSub>
          <m:sSubPr>
            <m:ctrlPr>
              <w:rPr>
                <w:rFonts w:ascii="Cambria Math" w:eastAsia="SimSun" w:hAnsi="Cambria Math"/>
                <w:i/>
                <w:highlight w:val="lightGray"/>
              </w:rPr>
            </m:ctrlPr>
          </m:sSubPr>
          <m:e>
            <m:r>
              <w:rPr>
                <w:rFonts w:ascii="Cambria Math" w:eastAsia="SimSun" w:hAnsi="Cambria Math"/>
                <w:highlight w:val="lightGray"/>
              </w:rPr>
              <m:t>BS</m:t>
            </m:r>
          </m:e>
          <m:sub>
            <m:r>
              <w:rPr>
                <w:rFonts w:ascii="Cambria Math" w:eastAsia="SimSun" w:hAnsi="Cambria Math"/>
                <w:highlight w:val="lightGray"/>
              </w:rPr>
              <m:t>TXon</m:t>
            </m:r>
          </m:sub>
        </m:sSub>
      </m:oMath>
      <w:r w:rsidRPr="001B6C66">
        <w:tab/>
      </w:r>
      <w:r w:rsidRPr="001B6C66">
        <w:tab/>
      </w:r>
    </w:p>
    <w:p w14:paraId="21D01E45" w14:textId="2C537B8B" w:rsidR="004C72FB" w:rsidRPr="001B6C66" w:rsidRDefault="004C72FB" w:rsidP="008A5CE5">
      <w:pPr>
        <w:jc w:val="both"/>
      </w:pPr>
      <w:r w:rsidRPr="001B6C66">
        <w:t xml:space="preserve"> (</w:t>
      </w:r>
      <w:r w:rsidRPr="001B6C66">
        <w:fldChar w:fldCharType="begin"/>
      </w:r>
      <w:r w:rsidRPr="001B6C66">
        <w:instrText xml:space="preserve"> STYLEREF 1 \s </w:instrText>
      </w:r>
      <w:r w:rsidRPr="001B6C66">
        <w:fldChar w:fldCharType="separate"/>
      </w:r>
      <w:r w:rsidR="00AB2065">
        <w:rPr>
          <w:noProof/>
        </w:rPr>
        <w:t>2</w:t>
      </w:r>
      <w:r w:rsidRPr="001B6C66">
        <w:rPr>
          <w:noProof/>
        </w:rPr>
        <w:fldChar w:fldCharType="end"/>
      </w:r>
      <w:r w:rsidRPr="001B6C66">
        <w:t>-</w:t>
      </w:r>
      <w:r w:rsidRPr="001B6C66">
        <w:fldChar w:fldCharType="begin"/>
      </w:r>
      <w:r w:rsidRPr="001B6C66">
        <w:instrText xml:space="preserve"> SEQ Equation \* ARABIC \s 1 </w:instrText>
      </w:r>
      <w:r w:rsidRPr="001B6C66">
        <w:fldChar w:fldCharType="separate"/>
      </w:r>
      <w:r w:rsidR="00AB2065">
        <w:rPr>
          <w:noProof/>
        </w:rPr>
        <w:t>12</w:t>
      </w:r>
      <w:r w:rsidRPr="001B6C66">
        <w:rPr>
          <w:noProof/>
        </w:rPr>
        <w:fldChar w:fldCharType="end"/>
      </w:r>
      <w:r w:rsidRPr="001B6C66">
        <w:t>)</w:t>
      </w:r>
    </w:p>
    <w:p w14:paraId="4826091E" w14:textId="77777777" w:rsidR="004C72FB" w:rsidRPr="008A5CE5" w:rsidRDefault="004C72FB" w:rsidP="008A5CE5">
      <w:pPr>
        <w:pStyle w:val="B-Body"/>
        <w:jc w:val="both"/>
        <w:rPr>
          <w:sz w:val="20"/>
        </w:rPr>
      </w:pPr>
    </w:p>
    <w:p w14:paraId="7638ABBF" w14:textId="77777777" w:rsidR="004C72FB" w:rsidRPr="008A5CE5" w:rsidRDefault="004C72FB" w:rsidP="008A5CE5">
      <w:pPr>
        <w:pStyle w:val="B-Body"/>
        <w:jc w:val="both"/>
        <w:rPr>
          <w:sz w:val="20"/>
        </w:rPr>
      </w:pPr>
    </w:p>
    <w:p w14:paraId="14306BAA" w14:textId="77777777" w:rsidR="00DE4FED" w:rsidRDefault="004C72FB" w:rsidP="008A5CE5">
      <w:pPr>
        <w:keepNext/>
        <w:jc w:val="center"/>
      </w:pPr>
      <w:r w:rsidRPr="00DE4FED">
        <w:rPr>
          <w:noProof/>
        </w:rPr>
        <w:lastRenderedPageBreak/>
        <w:drawing>
          <wp:inline distT="0" distB="0" distL="0" distR="0" wp14:anchorId="06099DA5" wp14:editId="39F16D20">
            <wp:extent cx="6400800" cy="29845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0800" cy="2984500"/>
                    </a:xfrm>
                    <a:prstGeom prst="rect">
                      <a:avLst/>
                    </a:prstGeom>
                  </pic:spPr>
                </pic:pic>
              </a:graphicData>
            </a:graphic>
          </wp:inline>
        </w:drawing>
      </w:r>
    </w:p>
    <w:p w14:paraId="7721B525" w14:textId="32D1285E" w:rsidR="004C72FB" w:rsidRPr="00DE4FED" w:rsidRDefault="00DE4FED" w:rsidP="008A5CE5">
      <w:pPr>
        <w:pStyle w:val="Caption"/>
        <w:jc w:val="center"/>
        <w:rPr>
          <w:lang w:eastAsia="ja-JP"/>
        </w:rPr>
      </w:pPr>
      <w:bookmarkStart w:id="12" w:name="_Ref503455418"/>
      <w:r>
        <w:t xml:space="preserve">Figure </w:t>
      </w:r>
      <w:r>
        <w:fldChar w:fldCharType="begin"/>
      </w:r>
      <w:r>
        <w:instrText xml:space="preserve"> SEQ Figure \* ARABIC </w:instrText>
      </w:r>
      <w:r>
        <w:fldChar w:fldCharType="separate"/>
      </w:r>
      <w:r w:rsidR="00AB2065">
        <w:rPr>
          <w:noProof/>
        </w:rPr>
        <w:t>4</w:t>
      </w:r>
      <w:r>
        <w:fldChar w:fldCharType="end"/>
      </w:r>
      <w:bookmarkEnd w:id="12"/>
      <w:r>
        <w:t xml:space="preserve">. </w:t>
      </w:r>
      <w:r w:rsidRPr="0069481D">
        <w:t>BS to BS interference during UL to DL switch</w:t>
      </w:r>
      <w:r>
        <w:t>.</w:t>
      </w:r>
    </w:p>
    <w:p w14:paraId="280C6E28" w14:textId="50AB11E0" w:rsidR="004C72FB" w:rsidRDefault="004C72FB" w:rsidP="004C72FB">
      <w:pPr>
        <w:pStyle w:val="Heading3"/>
      </w:pPr>
      <w:r>
        <w:t>Case III: UE</w:t>
      </w:r>
      <w:r w:rsidRPr="00397148">
        <w:t xml:space="preserve"> to </w:t>
      </w:r>
      <w:r>
        <w:t>UE</w:t>
      </w:r>
      <w:r w:rsidRPr="00397148">
        <w:t xml:space="preserve"> interference during </w:t>
      </w:r>
      <w:r>
        <w:t>DL to UL switch</w:t>
      </w:r>
    </w:p>
    <w:p w14:paraId="7FEABCC2" w14:textId="79905158" w:rsidR="004C72FB" w:rsidRPr="001B6C66" w:rsidRDefault="004C72FB" w:rsidP="008A5CE5">
      <w:pPr>
        <w:jc w:val="both"/>
      </w:pPr>
      <w:r w:rsidRPr="001B6C66">
        <w:t>To prevent this type of error UE2’s UL transmissions should not arrive at UE1 (green arrow in</w:t>
      </w:r>
      <w:r w:rsidR="00DE4FED" w:rsidRPr="008A5CE5">
        <w:t xml:space="preserve"> </w:t>
      </w:r>
      <w:r w:rsidR="00DE4FED" w:rsidRPr="008A5CE5">
        <w:fldChar w:fldCharType="begin"/>
      </w:r>
      <w:r w:rsidR="00DE4FED" w:rsidRPr="008A5CE5">
        <w:instrText xml:space="preserve"> REF _Ref503455592 \h </w:instrText>
      </w:r>
      <w:r w:rsidR="00DE4FED">
        <w:instrText xml:space="preserve"> \* MERGEFORMAT </w:instrText>
      </w:r>
      <w:r w:rsidR="00DE4FED" w:rsidRPr="008A5CE5">
        <w:fldChar w:fldCharType="separate"/>
      </w:r>
      <w:r w:rsidR="00AB2065">
        <w:t xml:space="preserve">Figure </w:t>
      </w:r>
      <w:r w:rsidR="00AB2065">
        <w:rPr>
          <w:noProof/>
        </w:rPr>
        <w:t>5</w:t>
      </w:r>
      <w:r w:rsidR="00DE4FED" w:rsidRPr="008A5CE5">
        <w:fldChar w:fldCharType="end"/>
      </w:r>
      <w:r w:rsidRPr="001B6C66">
        <w:t>) before the end eNB1’s DL signal does. This misalignment scenario leaves a cell timing error budget of</w:t>
      </w:r>
    </w:p>
    <w:p w14:paraId="6B586293" w14:textId="77777777" w:rsidR="004C72FB" w:rsidRPr="001B6C66" w:rsidRDefault="004C72FB" w:rsidP="008A5CE5">
      <w:pPr>
        <w:jc w:val="both"/>
        <w:rPr>
          <w:rFonts w:eastAsia="SimSun"/>
          <w:vanish/>
          <w:specVanish/>
        </w:rPr>
      </w:pPr>
      <w:r w:rsidRPr="001B6C66">
        <w:rPr>
          <w:rFonts w:eastAsia="SimSun"/>
        </w:rPr>
        <w:tab/>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err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UE2UE</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UE</m:t>
            </m:r>
          </m:e>
          <m:sub>
            <m:r>
              <w:rPr>
                <w:rFonts w:ascii="Cambria Math" w:eastAsia="SimSun" w:hAnsi="Cambria Math"/>
              </w:rPr>
              <m:t>TXon</m:t>
            </m:r>
          </m:sub>
        </m:sSub>
      </m:oMath>
      <w:r w:rsidRPr="001B6C66">
        <w:rPr>
          <w:rFonts w:eastAsia="SimSun"/>
        </w:rPr>
        <w:tab/>
      </w:r>
      <w:r w:rsidRPr="001B6C66">
        <w:rPr>
          <w:rFonts w:eastAsia="SimSun"/>
        </w:rPr>
        <w:tab/>
      </w:r>
    </w:p>
    <w:p w14:paraId="38CA843C" w14:textId="2CCA40DF" w:rsidR="004C72FB" w:rsidRPr="001B6C66" w:rsidRDefault="004C72FB" w:rsidP="008A5CE5">
      <w:pPr>
        <w:jc w:val="both"/>
        <w:rPr>
          <w:rFonts w:eastAsia="SimSun"/>
        </w:rPr>
      </w:pPr>
      <w:r w:rsidRPr="001B6C66">
        <w:rPr>
          <w:rFonts w:eastAsia="SimSun"/>
        </w:rPr>
        <w:t xml:space="preserve"> (</w:t>
      </w:r>
      <w:r w:rsidRPr="001B6C66">
        <w:rPr>
          <w:rFonts w:eastAsia="SimSun"/>
        </w:rPr>
        <w:fldChar w:fldCharType="begin"/>
      </w:r>
      <w:r w:rsidRPr="001B6C66">
        <w:rPr>
          <w:rFonts w:eastAsia="SimSun"/>
        </w:rPr>
        <w:instrText xml:space="preserve"> STYLEREF 1 \s </w:instrText>
      </w:r>
      <w:r w:rsidRPr="001B6C66">
        <w:rPr>
          <w:rFonts w:eastAsia="SimSun"/>
        </w:rPr>
        <w:fldChar w:fldCharType="separate"/>
      </w:r>
      <w:r w:rsidR="00AB2065">
        <w:rPr>
          <w:rFonts w:eastAsia="SimSun"/>
          <w:noProof/>
        </w:rPr>
        <w:t>2</w:t>
      </w:r>
      <w:r w:rsidRPr="001B6C66">
        <w:rPr>
          <w:rFonts w:eastAsia="SimSun"/>
        </w:rPr>
        <w:fldChar w:fldCharType="end"/>
      </w:r>
      <w:r w:rsidRPr="001B6C66">
        <w:rPr>
          <w:rFonts w:eastAsia="SimSun"/>
        </w:rPr>
        <w:t>-</w:t>
      </w:r>
      <w:r w:rsidRPr="001B6C66">
        <w:rPr>
          <w:rFonts w:eastAsia="SimSun"/>
        </w:rPr>
        <w:fldChar w:fldCharType="begin"/>
      </w:r>
      <w:r w:rsidRPr="001B6C66">
        <w:rPr>
          <w:rFonts w:eastAsia="SimSun"/>
        </w:rPr>
        <w:instrText xml:space="preserve"> SEQ Equation \* ARABIC \s 1 </w:instrText>
      </w:r>
      <w:r w:rsidRPr="001B6C66">
        <w:rPr>
          <w:rFonts w:eastAsia="SimSun"/>
        </w:rPr>
        <w:fldChar w:fldCharType="separate"/>
      </w:r>
      <w:r w:rsidR="00AB2065">
        <w:rPr>
          <w:rFonts w:eastAsia="SimSun"/>
          <w:noProof/>
        </w:rPr>
        <w:t>13</w:t>
      </w:r>
      <w:r w:rsidRPr="001B6C66">
        <w:rPr>
          <w:rFonts w:eastAsia="SimSun"/>
        </w:rPr>
        <w:fldChar w:fldCharType="end"/>
      </w:r>
      <w:r w:rsidRPr="001B6C66">
        <w:rPr>
          <w:rFonts w:eastAsia="SimSun"/>
        </w:rPr>
        <w:t>)</w:t>
      </w:r>
    </w:p>
    <w:p w14:paraId="4C3FBBC0" w14:textId="77777777" w:rsidR="004C72FB" w:rsidRPr="001B6C66" w:rsidRDefault="004C72FB" w:rsidP="008A5CE5">
      <w:pPr>
        <w:jc w:val="both"/>
        <w:rPr>
          <w:rFonts w:eastAsia="SimSun"/>
        </w:rPr>
      </w:pPr>
      <w:r w:rsidRPr="001B6C66">
        <w:rPr>
          <w:rFonts w:eastAsia="SimSun"/>
        </w:rPr>
        <w:t>T</w:t>
      </w:r>
      <w:r w:rsidRPr="008A5CE5">
        <w:rPr>
          <w:rFonts w:eastAsia="SimSun"/>
          <w:vertAlign w:val="subscript"/>
        </w:rPr>
        <w:t>p1</w:t>
      </w:r>
      <w:r w:rsidRPr="001B6C66">
        <w:rPr>
          <w:rFonts w:eastAsia="SimSun"/>
        </w:rPr>
        <w:t xml:space="preserve"> and T</w:t>
      </w:r>
      <w:r w:rsidRPr="008A5CE5">
        <w:rPr>
          <w:rFonts w:eastAsia="SimSun"/>
          <w:vertAlign w:val="subscript"/>
        </w:rPr>
        <w:t>p2</w:t>
      </w:r>
      <w:r w:rsidRPr="001B6C66">
        <w:rPr>
          <w:rFonts w:eastAsia="SimSun"/>
        </w:rPr>
        <w:t xml:space="preserve"> represent the propagation delay of UE1 and UE2 to their serving BSs. T</w:t>
      </w:r>
      <w:r w:rsidRPr="008A5CE5">
        <w:rPr>
          <w:rFonts w:eastAsia="SimSun"/>
          <w:vertAlign w:val="subscript"/>
        </w:rPr>
        <w:t xml:space="preserve">UE2UE </w:t>
      </w:r>
      <w:r w:rsidRPr="001B6C66">
        <w:rPr>
          <w:rFonts w:eastAsia="SimSun"/>
        </w:rPr>
        <w:t>is the propagation delay between the two UEs. The worst case scenario occurs when the UEs are at the cell edge and collocated (i.e. T</w:t>
      </w:r>
      <w:r w:rsidRPr="008A5CE5">
        <w:rPr>
          <w:rFonts w:eastAsia="SimSun"/>
          <w:vertAlign w:val="subscript"/>
        </w:rPr>
        <w:t>p1</w:t>
      </w:r>
      <w:r w:rsidRPr="001B6C66">
        <w:rPr>
          <w:rFonts w:eastAsia="SimSun"/>
        </w:rPr>
        <w:t xml:space="preserve"> = T</w:t>
      </w:r>
      <w:r w:rsidRPr="008A5CE5">
        <w:rPr>
          <w:rFonts w:eastAsia="SimSun"/>
          <w:vertAlign w:val="subscript"/>
        </w:rPr>
        <w:t>p2</w:t>
      </w:r>
      <w:r w:rsidRPr="001B6C66">
        <w:rPr>
          <w:rFonts w:eastAsia="SimSun"/>
        </w:rPr>
        <w:t xml:space="preserve"> = T</w:t>
      </w:r>
      <w:r w:rsidRPr="008A5CE5">
        <w:rPr>
          <w:rFonts w:eastAsia="SimSun"/>
          <w:vertAlign w:val="subscript"/>
        </w:rPr>
        <w:t>cell</w:t>
      </w:r>
      <w:r w:rsidRPr="001B6C66">
        <w:rPr>
          <w:rFonts w:eastAsia="SimSun"/>
        </w:rPr>
        <w:t xml:space="preserve"> and T</w:t>
      </w:r>
      <w:r w:rsidRPr="008A5CE5">
        <w:rPr>
          <w:rFonts w:eastAsia="SimSun"/>
          <w:vertAlign w:val="subscript"/>
        </w:rPr>
        <w:t xml:space="preserve">UE2UE </w:t>
      </w:r>
      <w:r w:rsidRPr="001B6C66">
        <w:rPr>
          <w:rFonts w:eastAsia="SimSun"/>
        </w:rPr>
        <w:t>= 0). With this</w:t>
      </w:r>
    </w:p>
    <w:p w14:paraId="4412994E" w14:textId="77777777" w:rsidR="004C72FB" w:rsidRPr="0036644A" w:rsidRDefault="004C72FB" w:rsidP="008A5CE5">
      <w:pPr>
        <w:jc w:val="both"/>
        <w:rPr>
          <w:rFonts w:eastAsia="SimSun"/>
          <w:vanish/>
          <w:specVanish/>
        </w:rPr>
      </w:pPr>
      <w:r w:rsidRPr="001B6C66">
        <w:rPr>
          <w:rFonts w:eastAsia="SimSun"/>
        </w:rPr>
        <w:tab/>
      </w:r>
      <m:oMath>
        <m:sSub>
          <m:sSubPr>
            <m:ctrlPr>
              <w:rPr>
                <w:rFonts w:ascii="Cambria Math" w:eastAsia="SimSun" w:hAnsi="Cambria Math"/>
                <w:i/>
                <w:highlight w:val="lightGray"/>
              </w:rPr>
            </m:ctrlPr>
          </m:sSubPr>
          <m:e>
            <m:r>
              <w:rPr>
                <w:rFonts w:ascii="Cambria Math" w:eastAsia="SimSun" w:hAnsi="Cambria Math"/>
                <w:highlight w:val="lightGray"/>
              </w:rPr>
              <m:t>T</m:t>
            </m:r>
          </m:e>
          <m:sub>
            <m:r>
              <w:rPr>
                <w:rFonts w:ascii="Cambria Math" w:eastAsia="SimSun" w:hAnsi="Cambria Math"/>
                <w:highlight w:val="lightGray"/>
              </w:rPr>
              <m:t>err</m:t>
            </m:r>
          </m:sub>
        </m:sSub>
        <m:r>
          <w:rPr>
            <w:rFonts w:ascii="Cambria Math" w:eastAsia="SimSun" w:hAnsi="Cambria Math"/>
            <w:highlight w:val="lightGray"/>
          </w:rPr>
          <m:t>≤</m:t>
        </m:r>
        <m:sSub>
          <m:sSubPr>
            <m:ctrlPr>
              <w:rPr>
                <w:rFonts w:ascii="Cambria Math" w:eastAsia="SimSun" w:hAnsi="Cambria Math"/>
                <w:i/>
                <w:highlight w:val="lightGray"/>
              </w:rPr>
            </m:ctrlPr>
          </m:sSubPr>
          <m:e>
            <m:r>
              <w:rPr>
                <w:rFonts w:ascii="Cambria Math" w:eastAsia="SimSun" w:hAnsi="Cambria Math"/>
                <w:highlight w:val="lightGray"/>
              </w:rPr>
              <m:t>G</m:t>
            </m:r>
          </m:e>
          <m:sub>
            <m:r>
              <w:rPr>
                <w:rFonts w:ascii="Cambria Math" w:eastAsia="SimSun" w:hAnsi="Cambria Math"/>
                <w:highlight w:val="lightGray"/>
              </w:rPr>
              <m:t>1</m:t>
            </m:r>
          </m:sub>
        </m:sSub>
        <m:r>
          <w:rPr>
            <w:rFonts w:ascii="Cambria Math" w:eastAsia="SimSun" w:hAnsi="Cambria Math"/>
            <w:highlight w:val="lightGray"/>
          </w:rPr>
          <m:t xml:space="preserve">-2 </m:t>
        </m:r>
        <m:sSub>
          <m:sSubPr>
            <m:ctrlPr>
              <w:rPr>
                <w:rFonts w:ascii="Cambria Math" w:eastAsia="SimSun" w:hAnsi="Cambria Math"/>
                <w:i/>
                <w:highlight w:val="lightGray"/>
              </w:rPr>
            </m:ctrlPr>
          </m:sSubPr>
          <m:e>
            <m:r>
              <w:rPr>
                <w:rFonts w:ascii="Cambria Math" w:eastAsia="SimSun" w:hAnsi="Cambria Math"/>
                <w:highlight w:val="lightGray"/>
              </w:rPr>
              <m:t>T</m:t>
            </m:r>
          </m:e>
          <m:sub>
            <m:r>
              <w:rPr>
                <w:rFonts w:ascii="Cambria Math" w:eastAsia="SimSun" w:hAnsi="Cambria Math"/>
                <w:highlight w:val="lightGray"/>
              </w:rPr>
              <m:t>cell</m:t>
            </m:r>
          </m:sub>
        </m:sSub>
        <m:r>
          <w:rPr>
            <w:rFonts w:ascii="Cambria Math" w:eastAsia="SimSun" w:hAnsi="Cambria Math"/>
            <w:highlight w:val="lightGray"/>
          </w:rPr>
          <m:t>-</m:t>
        </m:r>
        <m:sSub>
          <m:sSubPr>
            <m:ctrlPr>
              <w:rPr>
                <w:rFonts w:ascii="Cambria Math" w:eastAsia="SimSun" w:hAnsi="Cambria Math"/>
                <w:i/>
                <w:highlight w:val="lightGray"/>
              </w:rPr>
            </m:ctrlPr>
          </m:sSubPr>
          <m:e>
            <m:r>
              <w:rPr>
                <w:rFonts w:ascii="Cambria Math" w:eastAsia="SimSun" w:hAnsi="Cambria Math"/>
                <w:highlight w:val="lightGray"/>
              </w:rPr>
              <m:t>UE</m:t>
            </m:r>
          </m:e>
          <m:sub>
            <m:r>
              <w:rPr>
                <w:rFonts w:ascii="Cambria Math" w:eastAsia="SimSun" w:hAnsi="Cambria Math"/>
                <w:highlight w:val="lightGray"/>
              </w:rPr>
              <m:t>TXon</m:t>
            </m:r>
          </m:sub>
        </m:sSub>
      </m:oMath>
      <w:r w:rsidRPr="008A5CE5">
        <w:rPr>
          <w:rFonts w:eastAsia="SimSun"/>
          <w:sz w:val="24"/>
          <w:szCs w:val="24"/>
        </w:rPr>
        <w:tab/>
      </w:r>
      <w:r>
        <w:rPr>
          <w:rFonts w:eastAsia="SimSun"/>
        </w:rPr>
        <w:tab/>
      </w:r>
    </w:p>
    <w:p w14:paraId="18901609" w14:textId="750D317B" w:rsidR="004C72FB" w:rsidRPr="00474B31" w:rsidRDefault="004C72FB" w:rsidP="008A5CE5">
      <w:pPr>
        <w:jc w:val="both"/>
        <w:rPr>
          <w:rFonts w:eastAsia="SimSun"/>
        </w:rPr>
      </w:pPr>
      <w:r>
        <w:rPr>
          <w:rFonts w:eastAsia="SimSun"/>
        </w:rPr>
        <w:t xml:space="preserve"> (</w:t>
      </w:r>
      <w:r>
        <w:rPr>
          <w:rFonts w:eastAsia="SimSun"/>
        </w:rPr>
        <w:fldChar w:fldCharType="begin"/>
      </w:r>
      <w:r>
        <w:rPr>
          <w:rFonts w:eastAsia="SimSun"/>
        </w:rPr>
        <w:instrText xml:space="preserve"> STYLEREF 1 \s </w:instrText>
      </w:r>
      <w:r>
        <w:rPr>
          <w:rFonts w:eastAsia="SimSun"/>
        </w:rPr>
        <w:fldChar w:fldCharType="separate"/>
      </w:r>
      <w:r w:rsidR="00AB2065">
        <w:rPr>
          <w:rFonts w:eastAsia="SimSun"/>
          <w:noProof/>
        </w:rPr>
        <w:t>2</w:t>
      </w:r>
      <w:r>
        <w:rPr>
          <w:rFonts w:eastAsia="SimSun"/>
        </w:rPr>
        <w:fldChar w:fldCharType="end"/>
      </w:r>
      <w:r>
        <w:rPr>
          <w:rFonts w:eastAsia="SimSun"/>
        </w:rPr>
        <w:t>-</w:t>
      </w:r>
      <w:r>
        <w:rPr>
          <w:rFonts w:eastAsia="SimSun"/>
        </w:rPr>
        <w:fldChar w:fldCharType="begin"/>
      </w:r>
      <w:r>
        <w:rPr>
          <w:rFonts w:eastAsia="SimSun"/>
        </w:rPr>
        <w:instrText xml:space="preserve"> SEQ Equation \* ARABIC \s 1 </w:instrText>
      </w:r>
      <w:r>
        <w:rPr>
          <w:rFonts w:eastAsia="SimSun"/>
        </w:rPr>
        <w:fldChar w:fldCharType="separate"/>
      </w:r>
      <w:r w:rsidR="00AB2065">
        <w:rPr>
          <w:rFonts w:eastAsia="SimSun"/>
          <w:noProof/>
        </w:rPr>
        <w:t>14</w:t>
      </w:r>
      <w:r>
        <w:rPr>
          <w:rFonts w:eastAsia="SimSun"/>
        </w:rPr>
        <w:fldChar w:fldCharType="end"/>
      </w:r>
      <w:r>
        <w:rPr>
          <w:rFonts w:eastAsia="SimSun"/>
        </w:rPr>
        <w:t>)</w:t>
      </w:r>
    </w:p>
    <w:p w14:paraId="6AAA22CC" w14:textId="77777777" w:rsidR="004C72FB" w:rsidRDefault="004C72FB" w:rsidP="004C72FB">
      <w:pPr>
        <w:pStyle w:val="F-FigureTitle"/>
      </w:pPr>
    </w:p>
    <w:p w14:paraId="1C05C98C" w14:textId="77777777" w:rsidR="004C72FB" w:rsidRDefault="004C72FB" w:rsidP="004C72FB">
      <w:pPr>
        <w:pStyle w:val="F-FigureTitle"/>
      </w:pPr>
    </w:p>
    <w:p w14:paraId="79D0EC45" w14:textId="77777777" w:rsidR="00DE4FED" w:rsidRDefault="004C72FB" w:rsidP="008A5CE5">
      <w:pPr>
        <w:pStyle w:val="F-FigureTitle"/>
        <w:ind w:left="-450"/>
        <w:jc w:val="center"/>
      </w:pPr>
      <w:r>
        <w:rPr>
          <w:noProof/>
        </w:rPr>
        <w:drawing>
          <wp:inline distT="0" distB="0" distL="0" distR="0" wp14:anchorId="7DF44893" wp14:editId="51D36D77">
            <wp:extent cx="5864795" cy="2678723"/>
            <wp:effectExtent l="0" t="0" r="3175"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81706" cy="2686447"/>
                    </a:xfrm>
                    <a:prstGeom prst="rect">
                      <a:avLst/>
                    </a:prstGeom>
                  </pic:spPr>
                </pic:pic>
              </a:graphicData>
            </a:graphic>
          </wp:inline>
        </w:drawing>
      </w:r>
    </w:p>
    <w:p w14:paraId="2511C6BE" w14:textId="1F8C4BA7" w:rsidR="004C72FB" w:rsidRDefault="00DE4FED" w:rsidP="008A5CE5">
      <w:pPr>
        <w:pStyle w:val="Caption"/>
        <w:jc w:val="center"/>
      </w:pPr>
      <w:bookmarkStart w:id="13" w:name="_Ref503455592"/>
      <w:r>
        <w:t xml:space="preserve">Figure </w:t>
      </w:r>
      <w:r>
        <w:fldChar w:fldCharType="begin"/>
      </w:r>
      <w:r>
        <w:instrText xml:space="preserve"> SEQ Figure \* ARABIC </w:instrText>
      </w:r>
      <w:r>
        <w:fldChar w:fldCharType="separate"/>
      </w:r>
      <w:r w:rsidR="00AB2065">
        <w:rPr>
          <w:noProof/>
        </w:rPr>
        <w:t>5</w:t>
      </w:r>
      <w:r>
        <w:fldChar w:fldCharType="end"/>
      </w:r>
      <w:bookmarkEnd w:id="13"/>
      <w:r>
        <w:t>. UE to UE interference during DL to UL switch. Beginning of the interference marked with green arrow.</w:t>
      </w:r>
    </w:p>
    <w:p w14:paraId="0E87FB15" w14:textId="77777777" w:rsidR="004C72FB" w:rsidRDefault="004C72FB" w:rsidP="004C72FB">
      <w:pPr>
        <w:pStyle w:val="Heading3"/>
      </w:pPr>
      <w:r>
        <w:lastRenderedPageBreak/>
        <w:t>Case IV: UE</w:t>
      </w:r>
      <w:r w:rsidRPr="00397148">
        <w:t xml:space="preserve"> to </w:t>
      </w:r>
      <w:r>
        <w:t>UE</w:t>
      </w:r>
      <w:r w:rsidRPr="00397148">
        <w:t xml:space="preserve"> interference during </w:t>
      </w:r>
      <w:r>
        <w:t>UL to DL switch</w:t>
      </w:r>
    </w:p>
    <w:p w14:paraId="11B810CD" w14:textId="29EF951B" w:rsidR="004C72FB" w:rsidRPr="001B6C66" w:rsidRDefault="004C72FB" w:rsidP="008A5CE5">
      <w:pPr>
        <w:jc w:val="both"/>
      </w:pPr>
      <w:r w:rsidRPr="001B6C66">
        <w:t>This type of interference occurs when UE2’s UL signal arrives at the UE1 receiver with a delay and collides with the DL signal transmitted from BS1 (</w:t>
      </w:r>
      <w:r w:rsidR="00AB2065">
        <w:fldChar w:fldCharType="begin"/>
      </w:r>
      <w:r w:rsidR="00AB2065">
        <w:instrText xml:space="preserve"> REF _Ref504479958 \h </w:instrText>
      </w:r>
      <w:r w:rsidR="00AB2065">
        <w:fldChar w:fldCharType="separate"/>
      </w:r>
      <w:r w:rsidR="00AB2065">
        <w:t xml:space="preserve">Figure </w:t>
      </w:r>
      <w:r w:rsidR="00AB2065">
        <w:rPr>
          <w:noProof/>
        </w:rPr>
        <w:t>6</w:t>
      </w:r>
      <w:r w:rsidR="00AB2065">
        <w:fldChar w:fldCharType="end"/>
      </w:r>
      <w:r w:rsidRPr="001B6C66">
        <w:rPr>
          <w:color w:val="0000FF"/>
        </w:rPr>
        <w:fldChar w:fldCharType="begin"/>
      </w:r>
      <w:r w:rsidRPr="001B6C66">
        <w:rPr>
          <w:color w:val="0000FF"/>
        </w:rPr>
        <w:instrText xml:space="preserve"> REF _Ref496043297 \h \t \* \MERGEFORMAT </w:instrText>
      </w:r>
      <w:r w:rsidRPr="001B6C66">
        <w:rPr>
          <w:color w:val="0000FF"/>
        </w:rPr>
      </w:r>
      <w:r w:rsidRPr="001B6C66">
        <w:rPr>
          <w:color w:val="0000FF"/>
        </w:rPr>
        <w:fldChar w:fldCharType="end"/>
      </w:r>
      <w:r w:rsidRPr="001B6C66">
        <w:t>). To prevent it from happening, the end of UE2’s UL transmissions (incl. the RF decay) should not arrive at the UE1 later than the beginning of eNB1’s DL signal does. This leaves a cell timing error budget of</w:t>
      </w:r>
    </w:p>
    <w:p w14:paraId="5D69367A" w14:textId="77777777" w:rsidR="004C72FB" w:rsidRPr="001B6C66" w:rsidRDefault="004C72FB" w:rsidP="008A5CE5">
      <w:pPr>
        <w:jc w:val="both"/>
        <w:rPr>
          <w:vanish/>
          <w:specVanish/>
        </w:rPr>
      </w:pPr>
      <w:r w:rsidRPr="001B6C66">
        <w:tab/>
      </w:r>
      <m:oMath>
        <m:sSub>
          <m:sSubPr>
            <m:ctrlPr>
              <w:rPr>
                <w:rFonts w:ascii="Cambria Math" w:hAnsi="Cambria Math"/>
                <w:i/>
              </w:rPr>
            </m:ctrlPr>
          </m:sSubPr>
          <m:e>
            <m:r>
              <w:rPr>
                <w:rFonts w:ascii="Cambria Math" w:hAnsi="Cambria Math"/>
              </w:rPr>
              <m:t>T</m:t>
            </m:r>
          </m:e>
          <m:sub>
            <m:r>
              <w:rPr>
                <w:rFonts w:ascii="Cambria Math" w:hAnsi="Cambria Math"/>
              </w:rPr>
              <m:t>err</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UE2UE</m:t>
            </m:r>
          </m:sub>
        </m:sSub>
        <m:r>
          <w:rPr>
            <w:rFonts w:ascii="Cambria Math" w:hAnsi="Cambria Math"/>
          </w:rPr>
          <m:t>-</m:t>
        </m:r>
        <m:sSub>
          <m:sSubPr>
            <m:ctrlPr>
              <w:rPr>
                <w:rFonts w:ascii="Cambria Math" w:hAnsi="Cambria Math"/>
                <w:i/>
              </w:rPr>
            </m:ctrlPr>
          </m:sSubPr>
          <m:e>
            <m:r>
              <w:rPr>
                <w:rFonts w:ascii="Cambria Math" w:hAnsi="Cambria Math"/>
              </w:rPr>
              <m:t>UE</m:t>
            </m:r>
          </m:e>
          <m:sub>
            <m:r>
              <w:rPr>
                <w:rFonts w:ascii="Cambria Math" w:hAnsi="Cambria Math"/>
              </w:rPr>
              <m:t>TxOFF</m:t>
            </m:r>
          </m:sub>
        </m:sSub>
        <m:r>
          <w:rPr>
            <w:rFonts w:ascii="Cambria Math" w:hAnsi="Cambria Math"/>
          </w:rPr>
          <m:t>+</m:t>
        </m:r>
        <m:sSub>
          <m:sSubPr>
            <m:ctrlPr>
              <w:rPr>
                <w:rFonts w:ascii="Cambria Math" w:hAnsi="Cambria Math"/>
                <w:i/>
              </w:rPr>
            </m:ctrlPr>
          </m:sSubPr>
          <m:e>
            <m:r>
              <w:rPr>
                <w:rFonts w:ascii="Cambria Math" w:hAnsi="Cambria Math"/>
              </w:rPr>
              <m:t>CP</m:t>
            </m:r>
          </m:e>
          <m:sub>
            <m:r>
              <w:rPr>
                <w:rFonts w:ascii="Cambria Math" w:hAnsi="Cambria Math"/>
              </w:rPr>
              <m:t>len</m:t>
            </m:r>
          </m:sub>
        </m:sSub>
      </m:oMath>
      <w:r w:rsidRPr="001B6C66">
        <w:tab/>
      </w:r>
      <w:r w:rsidRPr="001B6C66">
        <w:tab/>
      </w:r>
    </w:p>
    <w:p w14:paraId="285BD464" w14:textId="460B21E9" w:rsidR="004C72FB" w:rsidRPr="001B6C66" w:rsidRDefault="004C72FB" w:rsidP="008A5CE5">
      <w:pPr>
        <w:jc w:val="both"/>
      </w:pPr>
      <w:r w:rsidRPr="001B6C66">
        <w:t xml:space="preserve"> (</w:t>
      </w:r>
      <w:r w:rsidRPr="001B6C66">
        <w:fldChar w:fldCharType="begin"/>
      </w:r>
      <w:r w:rsidRPr="001B6C66">
        <w:instrText xml:space="preserve"> STYLEREF 1 \s </w:instrText>
      </w:r>
      <w:r w:rsidRPr="001B6C66">
        <w:fldChar w:fldCharType="separate"/>
      </w:r>
      <w:r w:rsidR="00AB2065">
        <w:rPr>
          <w:noProof/>
        </w:rPr>
        <w:t>2</w:t>
      </w:r>
      <w:r w:rsidRPr="001B6C66">
        <w:rPr>
          <w:noProof/>
        </w:rPr>
        <w:fldChar w:fldCharType="end"/>
      </w:r>
      <w:r w:rsidRPr="001B6C66">
        <w:t>-</w:t>
      </w:r>
      <w:r w:rsidRPr="001B6C66">
        <w:fldChar w:fldCharType="begin"/>
      </w:r>
      <w:r w:rsidRPr="001B6C66">
        <w:instrText xml:space="preserve"> SEQ Equation \* ARABIC \s 1 </w:instrText>
      </w:r>
      <w:r w:rsidRPr="001B6C66">
        <w:fldChar w:fldCharType="separate"/>
      </w:r>
      <w:r w:rsidR="00AB2065">
        <w:rPr>
          <w:noProof/>
        </w:rPr>
        <w:t>15</w:t>
      </w:r>
      <w:r w:rsidRPr="001B6C66">
        <w:rPr>
          <w:noProof/>
        </w:rPr>
        <w:fldChar w:fldCharType="end"/>
      </w:r>
      <w:r w:rsidRPr="001B6C66">
        <w:t>)</w:t>
      </w:r>
    </w:p>
    <w:p w14:paraId="65EFD3A5" w14:textId="77777777" w:rsidR="004C72FB" w:rsidRPr="00E93DE9" w:rsidRDefault="004C72FB" w:rsidP="008A5CE5">
      <w:pPr>
        <w:jc w:val="both"/>
        <w:rPr>
          <w:lang w:eastAsia="ja-JP"/>
        </w:rPr>
      </w:pPr>
      <w:r w:rsidRPr="00E93DE9">
        <w:rPr>
          <w:lang w:eastAsia="ja-JP"/>
        </w:rPr>
        <w:t>The worst case scenario occurs when the UEs are far apart from each other, but close to their serving BSs (i.e. T</w:t>
      </w:r>
      <w:r w:rsidRPr="008A5CE5">
        <w:rPr>
          <w:vertAlign w:val="subscript"/>
          <w:lang w:eastAsia="ja-JP"/>
        </w:rPr>
        <w:t>p1</w:t>
      </w:r>
      <w:r w:rsidRPr="00E93DE9">
        <w:rPr>
          <w:lang w:eastAsia="ja-JP"/>
        </w:rPr>
        <w:t xml:space="preserve"> = T</w:t>
      </w:r>
      <w:r w:rsidRPr="008A5CE5">
        <w:rPr>
          <w:vertAlign w:val="subscript"/>
          <w:lang w:eastAsia="ja-JP"/>
        </w:rPr>
        <w:t>p2</w:t>
      </w:r>
      <w:r w:rsidRPr="00E93DE9">
        <w:rPr>
          <w:lang w:eastAsia="ja-JP"/>
        </w:rPr>
        <w:t xml:space="preserve"> = 0 and T</w:t>
      </w:r>
      <w:r w:rsidRPr="008A5CE5">
        <w:rPr>
          <w:vertAlign w:val="subscript"/>
          <w:lang w:eastAsia="ja-JP"/>
        </w:rPr>
        <w:t>UE2UE</w:t>
      </w:r>
      <w:r w:rsidRPr="00E93DE9">
        <w:rPr>
          <w:lang w:eastAsia="ja-JP"/>
        </w:rPr>
        <w:t xml:space="preserve"> = T</w:t>
      </w:r>
      <w:r w:rsidRPr="008A5CE5">
        <w:rPr>
          <w:vertAlign w:val="subscript"/>
          <w:lang w:eastAsia="ja-JP"/>
        </w:rPr>
        <w:t>BS2BS</w:t>
      </w:r>
      <w:r w:rsidRPr="00E93DE9">
        <w:rPr>
          <w:lang w:eastAsia="ja-JP"/>
        </w:rPr>
        <w:t>). With this,</w:t>
      </w:r>
    </w:p>
    <w:p w14:paraId="3C97608B" w14:textId="77777777" w:rsidR="004C72FB" w:rsidRPr="00CC7B06" w:rsidRDefault="004C72FB" w:rsidP="008A5CE5">
      <w:pPr>
        <w:jc w:val="both"/>
        <w:rPr>
          <w:vanish/>
          <w:specVanish/>
        </w:rPr>
      </w:pPr>
      <w:r w:rsidRPr="001B6C66">
        <w:tab/>
      </w:r>
      <m:oMath>
        <m:sSub>
          <m:sSubPr>
            <m:ctrlPr>
              <w:rPr>
                <w:rFonts w:ascii="Cambria Math" w:hAnsi="Cambria Math"/>
                <w:i/>
              </w:rPr>
            </m:ctrlPr>
          </m:sSubPr>
          <m:e>
            <m:r>
              <w:rPr>
                <w:rFonts w:ascii="Cambria Math" w:hAnsi="Cambria Math"/>
              </w:rPr>
              <m:t>T</m:t>
            </m:r>
          </m:e>
          <m:sub>
            <m:r>
              <w:rPr>
                <w:rFonts w:ascii="Cambria Math" w:hAnsi="Cambria Math"/>
              </w:rPr>
              <m:t>err</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BS2BS</m:t>
            </m:r>
          </m:sub>
        </m:sSub>
        <m:r>
          <w:rPr>
            <w:rFonts w:ascii="Cambria Math" w:hAnsi="Cambria Math"/>
          </w:rPr>
          <m:t>-</m:t>
        </m:r>
        <m:sSub>
          <m:sSubPr>
            <m:ctrlPr>
              <w:rPr>
                <w:rFonts w:ascii="Cambria Math" w:hAnsi="Cambria Math"/>
                <w:i/>
              </w:rPr>
            </m:ctrlPr>
          </m:sSubPr>
          <m:e>
            <m:r>
              <w:rPr>
                <w:rFonts w:ascii="Cambria Math" w:hAnsi="Cambria Math"/>
              </w:rPr>
              <m:t>UE</m:t>
            </m:r>
          </m:e>
          <m:sub>
            <m:r>
              <w:rPr>
                <w:rFonts w:ascii="Cambria Math" w:hAnsi="Cambria Math"/>
              </w:rPr>
              <m:t>TxOFF</m:t>
            </m:r>
          </m:sub>
        </m:sSub>
        <m:sSub>
          <m:sSubPr>
            <m:ctrlPr>
              <w:rPr>
                <w:rFonts w:ascii="Cambria Math" w:hAnsi="Cambria Math"/>
                <w:i/>
              </w:rPr>
            </m:ctrlPr>
          </m:sSubPr>
          <m:e>
            <m:r>
              <w:rPr>
                <w:rFonts w:ascii="Cambria Math" w:hAnsi="Cambria Math"/>
              </w:rPr>
              <m:t>+CP</m:t>
            </m:r>
          </m:e>
          <m:sub>
            <m:r>
              <w:rPr>
                <w:rFonts w:ascii="Cambria Math" w:hAnsi="Cambria Math"/>
              </w:rPr>
              <m:t>len</m:t>
            </m:r>
          </m:sub>
        </m:sSub>
      </m:oMath>
      <w:r>
        <w:tab/>
      </w:r>
      <w:r>
        <w:tab/>
      </w:r>
    </w:p>
    <w:p w14:paraId="165F9B27" w14:textId="16819399" w:rsidR="004C72FB" w:rsidRPr="009423C5" w:rsidRDefault="004C72FB" w:rsidP="008A5CE5">
      <w:pPr>
        <w:jc w:val="both"/>
      </w:pPr>
      <w:r>
        <w:t xml:space="preserve"> (</w:t>
      </w:r>
      <w:r>
        <w:fldChar w:fldCharType="begin"/>
      </w:r>
      <w:r>
        <w:instrText xml:space="preserve"> STYLEREF 1 \s </w:instrText>
      </w:r>
      <w:r>
        <w:fldChar w:fldCharType="separate"/>
      </w:r>
      <w:r w:rsidR="00AB2065">
        <w:rPr>
          <w:noProof/>
        </w:rPr>
        <w:t>2</w:t>
      </w:r>
      <w:r>
        <w:rPr>
          <w:noProof/>
        </w:rPr>
        <w:fldChar w:fldCharType="end"/>
      </w:r>
      <w:r>
        <w:t>-</w:t>
      </w:r>
      <w:r>
        <w:fldChar w:fldCharType="begin"/>
      </w:r>
      <w:r>
        <w:instrText xml:space="preserve"> SEQ Equation \* ARABIC \s 1 </w:instrText>
      </w:r>
      <w:r>
        <w:fldChar w:fldCharType="separate"/>
      </w:r>
      <w:r w:rsidR="00AB2065">
        <w:rPr>
          <w:noProof/>
        </w:rPr>
        <w:t>16</w:t>
      </w:r>
      <w:r>
        <w:rPr>
          <w:noProof/>
        </w:rPr>
        <w:fldChar w:fldCharType="end"/>
      </w:r>
      <w:r>
        <w:t>)</w:t>
      </w:r>
    </w:p>
    <w:p w14:paraId="66656D6F" w14:textId="77777777" w:rsidR="00E93DE9" w:rsidRDefault="004C72FB" w:rsidP="008A5CE5">
      <w:pPr>
        <w:keepNext/>
        <w:ind w:left="-720"/>
        <w:jc w:val="center"/>
      </w:pPr>
      <w:r>
        <w:rPr>
          <w:noProof/>
        </w:rPr>
        <w:drawing>
          <wp:inline distT="0" distB="0" distL="0" distR="0" wp14:anchorId="21A24AA0" wp14:editId="1A2CC38D">
            <wp:extent cx="6240340" cy="2942493"/>
            <wp:effectExtent l="0" t="0" r="825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65898" cy="2954544"/>
                    </a:xfrm>
                    <a:prstGeom prst="rect">
                      <a:avLst/>
                    </a:prstGeom>
                  </pic:spPr>
                </pic:pic>
              </a:graphicData>
            </a:graphic>
          </wp:inline>
        </w:drawing>
      </w:r>
    </w:p>
    <w:p w14:paraId="6CCFD4CC" w14:textId="739D5988" w:rsidR="004C72FB" w:rsidRDefault="00E93DE9" w:rsidP="008A5CE5">
      <w:pPr>
        <w:pStyle w:val="Caption"/>
        <w:jc w:val="center"/>
        <w:rPr>
          <w:lang w:eastAsia="ja-JP"/>
        </w:rPr>
      </w:pPr>
      <w:bookmarkStart w:id="14" w:name="_Ref504479958"/>
      <w:r>
        <w:t xml:space="preserve">Figure </w:t>
      </w:r>
      <w:r>
        <w:fldChar w:fldCharType="begin"/>
      </w:r>
      <w:r>
        <w:instrText xml:space="preserve"> SEQ Figure \* ARABIC </w:instrText>
      </w:r>
      <w:r>
        <w:fldChar w:fldCharType="separate"/>
      </w:r>
      <w:r w:rsidR="00AB2065">
        <w:rPr>
          <w:noProof/>
        </w:rPr>
        <w:t>6</w:t>
      </w:r>
      <w:r>
        <w:fldChar w:fldCharType="end"/>
      </w:r>
      <w:bookmarkEnd w:id="14"/>
      <w:r>
        <w:t xml:space="preserve">. </w:t>
      </w:r>
      <w:r w:rsidRPr="000D4D30">
        <w:t>UE to UE interference during UL to DL switch</w:t>
      </w:r>
      <w:r>
        <w:t>.</w:t>
      </w:r>
    </w:p>
    <w:p w14:paraId="7A19C5F3" w14:textId="77777777" w:rsidR="004C72FB" w:rsidRDefault="004C72FB" w:rsidP="004C72FB">
      <w:pPr>
        <w:pStyle w:val="F-FigureTitle"/>
      </w:pPr>
    </w:p>
    <w:p w14:paraId="49CBF915" w14:textId="77777777" w:rsidR="004C72FB" w:rsidRDefault="004C72FB" w:rsidP="004C72FB">
      <w:pPr>
        <w:pStyle w:val="Heading2"/>
      </w:pPr>
      <w:r>
        <w:t>Timing error ranges</w:t>
      </w:r>
    </w:p>
    <w:p w14:paraId="0CA69B18" w14:textId="44A82419" w:rsidR="00D27E7B" w:rsidRDefault="004C72FB" w:rsidP="008A5CE5">
      <w:pPr>
        <w:jc w:val="both"/>
        <w:rPr>
          <w:noProof/>
        </w:rPr>
      </w:pPr>
      <w:r w:rsidRPr="00351486">
        <w:t>In this section we study the maximum allowed T</w:t>
      </w:r>
      <w:r w:rsidRPr="008A5CE5">
        <w:rPr>
          <w:vertAlign w:val="subscript"/>
          <w:lang w:eastAsia="ja-JP"/>
        </w:rPr>
        <w:t>err</w:t>
      </w:r>
      <w:r w:rsidRPr="00351486">
        <w:t xml:space="preserve"> for various </w:t>
      </w:r>
      <w:r w:rsidR="004014F6" w:rsidRPr="00351486">
        <w:t>NR</w:t>
      </w:r>
      <w:r w:rsidRPr="00351486">
        <w:t xml:space="preserve"> scenarios. For sub6GHz and mmWave deployments we assume cell sizes of 1000 m</w:t>
      </w:r>
      <w:r w:rsidR="00DE4FED" w:rsidRPr="00351486">
        <w:t xml:space="preserve"> </w:t>
      </w:r>
      <w:r w:rsidRPr="00351486">
        <w:t>and 300 m,</w:t>
      </w:r>
      <w:r w:rsidR="00DE4FED" w:rsidRPr="00351486">
        <w:t xml:space="preserve"> </w:t>
      </w:r>
      <w:r w:rsidRPr="00351486">
        <w:t>respectively. Guard period (GP) is taken to be 1 symbol long for all subcarrier spacing options. Switch gaps G1</w:t>
      </w:r>
      <w:r w:rsidR="003D591A">
        <w:t xml:space="preserve"> …</w:t>
      </w:r>
      <w:r w:rsidRPr="00351486">
        <w:t xml:space="preserve"> G4 are computed according to the rules outlined in sec</w:t>
      </w:r>
      <w:r w:rsidR="00D27E7B">
        <w:t xml:space="preserve">tion </w:t>
      </w:r>
      <w:r w:rsidR="00D27E7B">
        <w:fldChar w:fldCharType="begin"/>
      </w:r>
      <w:r w:rsidR="00D27E7B">
        <w:instrText xml:space="preserve"> REF _Ref503453621 \r \h </w:instrText>
      </w:r>
      <w:r w:rsidR="001B6C66">
        <w:instrText xml:space="preserve"> \* MERGEFORMAT </w:instrText>
      </w:r>
      <w:r w:rsidR="00D27E7B">
        <w:fldChar w:fldCharType="separate"/>
      </w:r>
      <w:r w:rsidR="00AB2065">
        <w:t>2.1</w:t>
      </w:r>
      <w:r w:rsidR="00D27E7B">
        <w:fldChar w:fldCharType="end"/>
      </w:r>
      <w:r w:rsidR="00D27E7B">
        <w:t>.</w:t>
      </w:r>
      <w:r w:rsidR="00DE4FED" w:rsidRPr="00351486">
        <w:t xml:space="preserve"> </w:t>
      </w:r>
      <w:r w:rsidRPr="00351486">
        <w:rPr>
          <w:noProof/>
        </w:rPr>
        <w:t>For RF switch times UE</w:t>
      </w:r>
      <w:r w:rsidRPr="008A5CE5">
        <w:rPr>
          <w:noProof/>
          <w:vertAlign w:val="subscript"/>
        </w:rPr>
        <w:t>TxON/OFF</w:t>
      </w:r>
      <w:r w:rsidRPr="00351486">
        <w:rPr>
          <w:noProof/>
        </w:rPr>
        <w:t xml:space="preserve"> and BS</w:t>
      </w:r>
      <w:r w:rsidRPr="008A5CE5">
        <w:rPr>
          <w:noProof/>
          <w:vertAlign w:val="subscript"/>
        </w:rPr>
        <w:t>TxON/OFF</w:t>
      </w:r>
      <w:r w:rsidR="00DE4FED" w:rsidRPr="00351486">
        <w:rPr>
          <w:noProof/>
        </w:rPr>
        <w:t xml:space="preserve"> </w:t>
      </w:r>
      <w:r w:rsidRPr="00351486">
        <w:rPr>
          <w:noProof/>
        </w:rPr>
        <w:t xml:space="preserve">parameters recommended in </w:t>
      </w:r>
      <w:r w:rsidR="00D27E7B">
        <w:rPr>
          <w:noProof/>
        </w:rPr>
        <w:fldChar w:fldCharType="begin"/>
      </w:r>
      <w:r w:rsidR="00D27E7B">
        <w:rPr>
          <w:noProof/>
        </w:rPr>
        <w:instrText xml:space="preserve"> REF _Ref503456073 \r \h </w:instrText>
      </w:r>
      <w:r w:rsidR="001B6C66">
        <w:rPr>
          <w:noProof/>
        </w:rPr>
        <w:instrText xml:space="preserve"> \* MERGEFORMAT </w:instrText>
      </w:r>
      <w:r w:rsidR="00D27E7B">
        <w:rPr>
          <w:noProof/>
        </w:rPr>
      </w:r>
      <w:r w:rsidR="00D27E7B">
        <w:rPr>
          <w:noProof/>
        </w:rPr>
        <w:fldChar w:fldCharType="separate"/>
      </w:r>
      <w:r w:rsidR="00AB2065">
        <w:rPr>
          <w:noProof/>
        </w:rPr>
        <w:t>[7]</w:t>
      </w:r>
      <w:r w:rsidR="00D27E7B">
        <w:rPr>
          <w:noProof/>
        </w:rPr>
        <w:fldChar w:fldCharType="end"/>
      </w:r>
      <w:r w:rsidR="00D27E7B">
        <w:rPr>
          <w:noProof/>
        </w:rPr>
        <w:t xml:space="preserve"> and </w:t>
      </w:r>
      <w:r w:rsidR="00D27E7B">
        <w:rPr>
          <w:noProof/>
        </w:rPr>
        <w:fldChar w:fldCharType="begin"/>
      </w:r>
      <w:r w:rsidR="00D27E7B">
        <w:rPr>
          <w:noProof/>
        </w:rPr>
        <w:instrText xml:space="preserve"> REF _Ref503456075 \r \h </w:instrText>
      </w:r>
      <w:r w:rsidR="001B6C66">
        <w:rPr>
          <w:noProof/>
        </w:rPr>
        <w:instrText xml:space="preserve"> \* MERGEFORMAT </w:instrText>
      </w:r>
      <w:r w:rsidR="00D27E7B">
        <w:rPr>
          <w:noProof/>
        </w:rPr>
      </w:r>
      <w:r w:rsidR="00D27E7B">
        <w:rPr>
          <w:noProof/>
        </w:rPr>
        <w:fldChar w:fldCharType="separate"/>
      </w:r>
      <w:r w:rsidR="00AB2065">
        <w:rPr>
          <w:noProof/>
        </w:rPr>
        <w:t>[8]</w:t>
      </w:r>
      <w:r w:rsidR="00D27E7B">
        <w:rPr>
          <w:noProof/>
        </w:rPr>
        <w:fldChar w:fldCharType="end"/>
      </w:r>
      <w:r w:rsidR="00D27E7B">
        <w:rPr>
          <w:noProof/>
        </w:rPr>
        <w:t xml:space="preserve"> are adopted. </w:t>
      </w:r>
    </w:p>
    <w:p w14:paraId="1EA172D2" w14:textId="2AE45EA5" w:rsidR="004C72FB" w:rsidRPr="001B6C66" w:rsidRDefault="003D591A" w:rsidP="008A5CE5">
      <w:pPr>
        <w:jc w:val="both"/>
        <w:rPr>
          <w:noProof/>
        </w:rPr>
      </w:pPr>
      <w:r>
        <w:rPr>
          <w:noProof/>
        </w:rPr>
        <w:fldChar w:fldCharType="begin"/>
      </w:r>
      <w:r>
        <w:rPr>
          <w:noProof/>
        </w:rPr>
        <w:instrText xml:space="preserve"> REF _Ref503456284 \h </w:instrText>
      </w:r>
      <w:r w:rsidR="001B6C66">
        <w:rPr>
          <w:noProof/>
        </w:rPr>
        <w:instrText xml:space="preserve"> \* MERGEFORMAT </w:instrText>
      </w:r>
      <w:r>
        <w:rPr>
          <w:noProof/>
        </w:rPr>
      </w:r>
      <w:r>
        <w:rPr>
          <w:noProof/>
        </w:rPr>
        <w:fldChar w:fldCharType="separate"/>
      </w:r>
      <w:r w:rsidR="00AB2065">
        <w:t xml:space="preserve">Table </w:t>
      </w:r>
      <w:r w:rsidR="00AB2065">
        <w:rPr>
          <w:noProof/>
        </w:rPr>
        <w:t>1</w:t>
      </w:r>
      <w:r>
        <w:rPr>
          <w:noProof/>
        </w:rPr>
        <w:fldChar w:fldCharType="end"/>
      </w:r>
      <w:r>
        <w:rPr>
          <w:noProof/>
        </w:rPr>
        <w:t xml:space="preserve"> </w:t>
      </w:r>
      <w:r w:rsidR="004C72FB" w:rsidRPr="001B6C66">
        <w:rPr>
          <w:noProof/>
        </w:rPr>
        <w:t>lists the T</w:t>
      </w:r>
      <w:r w:rsidR="004C72FB" w:rsidRPr="008A5CE5">
        <w:rPr>
          <w:noProof/>
          <w:vertAlign w:val="subscript"/>
        </w:rPr>
        <w:t>err</w:t>
      </w:r>
      <w:r w:rsidR="004C72FB" w:rsidRPr="001B6C66">
        <w:rPr>
          <w:noProof/>
        </w:rPr>
        <w:t xml:space="preserve"> ceiling</w:t>
      </w:r>
      <w:r w:rsidR="00DE4FED" w:rsidRPr="001B6C66">
        <w:rPr>
          <w:noProof/>
        </w:rPr>
        <w:t xml:space="preserve"> </w:t>
      </w:r>
      <w:r w:rsidR="004C72FB" w:rsidRPr="001B6C66">
        <w:rPr>
          <w:noProof/>
        </w:rPr>
        <w:t>for each interference cases studied in the previous section.</w:t>
      </w:r>
      <w:r w:rsidR="00DE4FED" w:rsidRPr="001B6C66">
        <w:rPr>
          <w:noProof/>
        </w:rPr>
        <w:t xml:space="preserve"> </w:t>
      </w:r>
      <w:r w:rsidR="004C72FB" w:rsidRPr="001B6C66">
        <w:rPr>
          <w:noProof/>
        </w:rPr>
        <w:t>Some of the subcarrier spacing (SCS) choice are yielding negative values of T</w:t>
      </w:r>
      <w:r w:rsidR="004C72FB" w:rsidRPr="008A5CE5">
        <w:rPr>
          <w:noProof/>
          <w:vertAlign w:val="subscript"/>
        </w:rPr>
        <w:t>err</w:t>
      </w:r>
      <w:r w:rsidR="004C72FB" w:rsidRPr="001B6C66">
        <w:rPr>
          <w:noProof/>
        </w:rPr>
        <w:t xml:space="preserve">. These are infeasible and they are highlighted in red color. Similarly, some of the BS and UE RF switch times are larger than the switch gaps. These are also highlighted in red color. </w:t>
      </w:r>
    </w:p>
    <w:p w14:paraId="78018EC7" w14:textId="4850EA7A" w:rsidR="00D27E7B" w:rsidRDefault="00D27E7B" w:rsidP="008A5CE5">
      <w:pPr>
        <w:pStyle w:val="Caption"/>
        <w:keepNext/>
        <w:jc w:val="both"/>
      </w:pPr>
      <w:bookmarkStart w:id="15" w:name="_Ref503456284"/>
      <w:r>
        <w:lastRenderedPageBreak/>
        <w:t xml:space="preserve">Table </w:t>
      </w:r>
      <w:r>
        <w:fldChar w:fldCharType="begin"/>
      </w:r>
      <w:r>
        <w:instrText xml:space="preserve"> SEQ Table \* ARABIC </w:instrText>
      </w:r>
      <w:r>
        <w:fldChar w:fldCharType="separate"/>
      </w:r>
      <w:r w:rsidR="00AB2065">
        <w:rPr>
          <w:noProof/>
        </w:rPr>
        <w:t>1</w:t>
      </w:r>
      <w:r>
        <w:fldChar w:fldCharType="end"/>
      </w:r>
      <w:bookmarkEnd w:id="15"/>
      <w:r>
        <w:t xml:space="preserve">. </w:t>
      </w:r>
      <w:r w:rsidRPr="00D27E7B">
        <w:t>For various NR system parameters (upper portion) this table shows the max Terr allowed for each intercell interference type. Red colour indicates a violation (e.g. negative value). Orange indicates Terr ceiling is less than its LTE counterpart.</w:t>
      </w:r>
    </w:p>
    <w:p w14:paraId="32BEA068" w14:textId="77777777" w:rsidR="004C72FB" w:rsidRDefault="004C72FB" w:rsidP="004C72FB">
      <w:pPr>
        <w:pStyle w:val="F-FigureTitle"/>
        <w:ind w:left="-270"/>
        <w:rPr>
          <w:noProof/>
        </w:rPr>
      </w:pPr>
      <w:r>
        <w:rPr>
          <w:noProof/>
        </w:rPr>
        <w:drawing>
          <wp:inline distT="0" distB="0" distL="0" distR="0" wp14:anchorId="59552B8E" wp14:editId="503E51B2">
            <wp:extent cx="5916797" cy="414528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21702" cy="4148717"/>
                    </a:xfrm>
                    <a:prstGeom prst="rect">
                      <a:avLst/>
                    </a:prstGeom>
                  </pic:spPr>
                </pic:pic>
              </a:graphicData>
            </a:graphic>
          </wp:inline>
        </w:drawing>
      </w:r>
    </w:p>
    <w:p w14:paraId="1E54943E" w14:textId="77777777" w:rsidR="004C72FB" w:rsidRDefault="004C72FB" w:rsidP="004C72FB">
      <w:pPr>
        <w:rPr>
          <w:lang w:eastAsia="ja-JP"/>
        </w:rPr>
      </w:pPr>
    </w:p>
    <w:p w14:paraId="2DC7C539" w14:textId="346E7070" w:rsidR="004C72FB" w:rsidRPr="001B6C66" w:rsidRDefault="004C72FB" w:rsidP="008A5CE5">
      <w:pPr>
        <w:rPr>
          <w:noProof/>
        </w:rPr>
      </w:pPr>
      <w:r w:rsidRPr="001B6C66">
        <w:rPr>
          <w:noProof/>
        </w:rPr>
        <w:t xml:space="preserve">In order to </w:t>
      </w:r>
      <w:r w:rsidRPr="008A5CE5">
        <w:t>provide ample Terr budget for the BS synchronization algorithms the above parameters need to be relaxed. This can be achieved in multiple ways</w:t>
      </w:r>
      <w:r w:rsidR="003D591A" w:rsidRPr="008A5CE5">
        <w:t>:</w:t>
      </w:r>
      <w:r w:rsidRPr="001B6C66">
        <w:rPr>
          <w:noProof/>
        </w:rPr>
        <w:t xml:space="preserve"> </w:t>
      </w:r>
    </w:p>
    <w:p w14:paraId="63E5E61C" w14:textId="65067E91" w:rsidR="004C72FB" w:rsidRPr="008A5CE5" w:rsidRDefault="004C72FB" w:rsidP="008A5CE5">
      <w:pPr>
        <w:pStyle w:val="B-Body"/>
        <w:numPr>
          <w:ilvl w:val="0"/>
          <w:numId w:val="51"/>
        </w:numPr>
        <w:jc w:val="both"/>
        <w:rPr>
          <w:noProof/>
          <w:sz w:val="20"/>
        </w:rPr>
      </w:pPr>
      <w:r w:rsidRPr="008A5CE5">
        <w:rPr>
          <w:noProof/>
          <w:sz w:val="20"/>
        </w:rPr>
        <w:t xml:space="preserve">For higher SCSs make the GP more than one symbol long. These are highlighed in blue color in </w:t>
      </w:r>
      <w:r w:rsidR="00446D48">
        <w:rPr>
          <w:noProof/>
          <w:sz w:val="20"/>
        </w:rPr>
        <w:fldChar w:fldCharType="begin"/>
      </w:r>
      <w:r w:rsidR="00446D48">
        <w:rPr>
          <w:noProof/>
          <w:sz w:val="20"/>
        </w:rPr>
        <w:instrText xml:space="preserve"> REF _Ref503456453 \h </w:instrText>
      </w:r>
      <w:r w:rsidR="00446D48">
        <w:rPr>
          <w:noProof/>
          <w:sz w:val="20"/>
        </w:rPr>
      </w:r>
      <w:r w:rsidR="00446D48">
        <w:rPr>
          <w:noProof/>
          <w:sz w:val="20"/>
        </w:rPr>
        <w:fldChar w:fldCharType="separate"/>
      </w:r>
      <w:r w:rsidR="00AB2065">
        <w:t xml:space="preserve">Table </w:t>
      </w:r>
      <w:r w:rsidR="00AB2065">
        <w:rPr>
          <w:noProof/>
        </w:rPr>
        <w:t>2</w:t>
      </w:r>
      <w:r w:rsidR="00446D48">
        <w:rPr>
          <w:noProof/>
          <w:sz w:val="20"/>
        </w:rPr>
        <w:fldChar w:fldCharType="end"/>
      </w:r>
    </w:p>
    <w:p w14:paraId="05B9A82D" w14:textId="77777777" w:rsidR="004C72FB" w:rsidRPr="008A5CE5" w:rsidRDefault="004C72FB" w:rsidP="008A5CE5">
      <w:pPr>
        <w:pStyle w:val="B-Body"/>
        <w:numPr>
          <w:ilvl w:val="0"/>
          <w:numId w:val="51"/>
        </w:numPr>
        <w:jc w:val="both"/>
        <w:rPr>
          <w:noProof/>
          <w:sz w:val="20"/>
        </w:rPr>
      </w:pPr>
      <w:r w:rsidRPr="008A5CE5">
        <w:rPr>
          <w:noProof/>
          <w:sz w:val="20"/>
        </w:rPr>
        <w:t xml:space="preserve">Shorten UE TxON </w:t>
      </w:r>
      <w:r w:rsidRPr="00D27E7B">
        <w:rPr>
          <w:noProof/>
          <w:sz w:val="20"/>
        </w:rPr>
        <w:sym w:font="Wingdings" w:char="F0E0"/>
      </w:r>
      <w:r w:rsidRPr="008A5CE5">
        <w:rPr>
          <w:noProof/>
          <w:sz w:val="20"/>
        </w:rPr>
        <w:t xml:space="preserve"> TxOFF time from 10</w:t>
      </w:r>
      <w:r w:rsidRPr="008A5CE5">
        <w:rPr>
          <w:noProof/>
          <w:sz w:val="20"/>
        </w:rPr>
        <w:sym w:font="Wingdings" w:char="F0E0"/>
      </w:r>
      <w:r w:rsidRPr="008A5CE5">
        <w:rPr>
          <w:noProof/>
          <w:sz w:val="20"/>
        </w:rPr>
        <w:t xml:space="preserve">9 us for sub6GHz and from 5 </w:t>
      </w:r>
      <w:r w:rsidRPr="008A5CE5">
        <w:rPr>
          <w:noProof/>
          <w:sz w:val="20"/>
        </w:rPr>
        <w:sym w:font="Wingdings" w:char="F0E0"/>
      </w:r>
      <w:r w:rsidRPr="008A5CE5">
        <w:rPr>
          <w:noProof/>
          <w:sz w:val="20"/>
        </w:rPr>
        <w:t xml:space="preserve"> 4 us for mmWave</w:t>
      </w:r>
    </w:p>
    <w:p w14:paraId="3E757E52" w14:textId="62143660" w:rsidR="004C72FB" w:rsidRDefault="004C72FB" w:rsidP="008A5CE5">
      <w:pPr>
        <w:pStyle w:val="B-Body"/>
        <w:numPr>
          <w:ilvl w:val="0"/>
          <w:numId w:val="51"/>
        </w:numPr>
        <w:jc w:val="both"/>
        <w:rPr>
          <w:noProof/>
          <w:sz w:val="20"/>
        </w:rPr>
      </w:pPr>
      <w:r w:rsidRPr="008A5CE5">
        <w:rPr>
          <w:noProof/>
          <w:sz w:val="20"/>
        </w:rPr>
        <w:t>Alternatively, the cell sizes be reduced (not applied here)</w:t>
      </w:r>
    </w:p>
    <w:p w14:paraId="3C76DB9D" w14:textId="71BA35DA" w:rsidR="003D591A" w:rsidRPr="008A5CE5" w:rsidRDefault="003D591A" w:rsidP="008A5CE5">
      <w:pPr>
        <w:pStyle w:val="B-Body"/>
        <w:jc w:val="both"/>
        <w:rPr>
          <w:noProof/>
          <w:sz w:val="20"/>
        </w:rPr>
      </w:pPr>
      <w:r>
        <w:rPr>
          <w:noProof/>
          <w:sz w:val="20"/>
        </w:rPr>
        <w:t xml:space="preserve">In </w:t>
      </w:r>
      <w:r>
        <w:rPr>
          <w:noProof/>
          <w:sz w:val="20"/>
        </w:rPr>
        <w:fldChar w:fldCharType="begin"/>
      </w:r>
      <w:r>
        <w:rPr>
          <w:noProof/>
          <w:sz w:val="20"/>
        </w:rPr>
        <w:instrText xml:space="preserve"> REF _Ref503456453 \h </w:instrText>
      </w:r>
      <w:r>
        <w:rPr>
          <w:noProof/>
          <w:sz w:val="20"/>
        </w:rPr>
      </w:r>
      <w:r>
        <w:rPr>
          <w:noProof/>
          <w:sz w:val="20"/>
        </w:rPr>
        <w:fldChar w:fldCharType="separate"/>
      </w:r>
      <w:r w:rsidR="00AB2065">
        <w:t xml:space="preserve">Table </w:t>
      </w:r>
      <w:r w:rsidR="00AB2065">
        <w:rPr>
          <w:noProof/>
        </w:rPr>
        <w:t>2</w:t>
      </w:r>
      <w:r>
        <w:rPr>
          <w:noProof/>
          <w:sz w:val="20"/>
        </w:rPr>
        <w:fldChar w:fldCharType="end"/>
      </w:r>
      <w:r>
        <w:rPr>
          <w:noProof/>
          <w:sz w:val="20"/>
        </w:rPr>
        <w:t xml:space="preserve"> we show </w:t>
      </w:r>
      <w:r>
        <w:t>how T</w:t>
      </w:r>
      <w:r w:rsidRPr="003D4D6A">
        <w:rPr>
          <w:vertAlign w:val="subscript"/>
        </w:rPr>
        <w:t>err</w:t>
      </w:r>
      <w:r>
        <w:t xml:space="preserve"> can be relaxed by changing the parameters highlighted in blue.</w:t>
      </w:r>
    </w:p>
    <w:p w14:paraId="3C7BDD91" w14:textId="77777777" w:rsidR="004C72FB" w:rsidRPr="00D27E7B" w:rsidRDefault="004C72FB" w:rsidP="004C72FB">
      <w:pPr>
        <w:rPr>
          <w:lang w:eastAsia="ja-JP"/>
        </w:rPr>
      </w:pPr>
    </w:p>
    <w:p w14:paraId="76EFCBFB" w14:textId="77777777" w:rsidR="004C72FB" w:rsidRPr="00D27E7B" w:rsidRDefault="004C72FB" w:rsidP="004C72FB">
      <w:pPr>
        <w:rPr>
          <w:lang w:eastAsia="ja-JP"/>
        </w:rPr>
      </w:pPr>
    </w:p>
    <w:p w14:paraId="687140E3" w14:textId="77777777" w:rsidR="004C72FB" w:rsidRPr="008A5CE5" w:rsidRDefault="004C72FB" w:rsidP="004C72FB">
      <w:pPr>
        <w:pStyle w:val="B-Body"/>
        <w:ind w:left="-720"/>
        <w:rPr>
          <w:sz w:val="20"/>
        </w:rPr>
      </w:pPr>
    </w:p>
    <w:p w14:paraId="3385FE75" w14:textId="131CA71F" w:rsidR="003D591A" w:rsidRDefault="00446D48" w:rsidP="003D591A">
      <w:pPr>
        <w:jc w:val="both"/>
      </w:pPr>
      <w:r>
        <w:rPr>
          <w:noProof/>
        </w:rPr>
        <w:lastRenderedPageBreak/>
        <w:drawing>
          <wp:anchor distT="0" distB="0" distL="114300" distR="114300" simplePos="0" relativeHeight="251661312" behindDoc="0" locked="0" layoutInCell="1" allowOverlap="1" wp14:anchorId="53FC860A" wp14:editId="60EE3F09">
            <wp:simplePos x="0" y="0"/>
            <wp:positionH relativeFrom="margin">
              <wp:align>left</wp:align>
            </wp:positionH>
            <wp:positionV relativeFrom="paragraph">
              <wp:posOffset>3175</wp:posOffset>
            </wp:positionV>
            <wp:extent cx="6055360" cy="4358640"/>
            <wp:effectExtent l="0" t="0" r="2540" b="381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6055360" cy="4358640"/>
                    </a:xfrm>
                    <a:prstGeom prst="rect">
                      <a:avLst/>
                    </a:prstGeom>
                  </pic:spPr>
                </pic:pic>
              </a:graphicData>
            </a:graphic>
            <wp14:sizeRelH relativeFrom="margin">
              <wp14:pctWidth>0</wp14:pctWidth>
            </wp14:sizeRelH>
            <wp14:sizeRelV relativeFrom="margin">
              <wp14:pctHeight>0</wp14:pctHeight>
            </wp14:sizeRelV>
          </wp:anchor>
        </w:drawing>
      </w:r>
      <w:r w:rsidR="003D591A">
        <w:rPr>
          <w:noProof/>
        </w:rPr>
        <mc:AlternateContent>
          <mc:Choice Requires="wps">
            <w:drawing>
              <wp:anchor distT="0" distB="0" distL="114300" distR="114300" simplePos="0" relativeHeight="251669504" behindDoc="0" locked="0" layoutInCell="1" allowOverlap="1" wp14:anchorId="45051885" wp14:editId="544B3064">
                <wp:simplePos x="0" y="0"/>
                <wp:positionH relativeFrom="column">
                  <wp:posOffset>0</wp:posOffset>
                </wp:positionH>
                <wp:positionV relativeFrom="paragraph">
                  <wp:posOffset>0</wp:posOffset>
                </wp:positionV>
                <wp:extent cx="6400800" cy="4572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6400800" cy="457200"/>
                        </a:xfrm>
                        <a:prstGeom prst="rect">
                          <a:avLst/>
                        </a:prstGeom>
                        <a:solidFill>
                          <a:prstClr val="white"/>
                        </a:solidFill>
                        <a:ln>
                          <a:noFill/>
                        </a:ln>
                      </wps:spPr>
                      <wps:txbx>
                        <w:txbxContent>
                          <w:p w14:paraId="24A7FE06" w14:textId="6361C19C" w:rsidR="006300B5" w:rsidRPr="005016E2" w:rsidRDefault="006300B5" w:rsidP="008A5CE5">
                            <w:pPr>
                              <w:pStyle w:val="Caption"/>
                              <w:jc w:val="center"/>
                              <w:rPr>
                                <w:noProof/>
                              </w:rPr>
                            </w:pPr>
                            <w:bookmarkStart w:id="16" w:name="_Ref503456453"/>
                            <w:r>
                              <w:t xml:space="preserve">Table </w:t>
                            </w:r>
                            <w:r>
                              <w:fldChar w:fldCharType="begin"/>
                            </w:r>
                            <w:r>
                              <w:instrText xml:space="preserve"> SEQ Table \* ARABIC </w:instrText>
                            </w:r>
                            <w:r>
                              <w:fldChar w:fldCharType="separate"/>
                            </w:r>
                            <w:r>
                              <w:rPr>
                                <w:noProof/>
                              </w:rPr>
                              <w:t>2</w:t>
                            </w:r>
                            <w:r>
                              <w:fldChar w:fldCharType="end"/>
                            </w:r>
                            <w:bookmarkEnd w:id="16"/>
                            <w:r>
                              <w:t>.</w:t>
                            </w:r>
                            <w:r w:rsidRPr="003D591A">
                              <w:t xml:space="preserve"> </w:t>
                            </w:r>
                            <w:r>
                              <w:t>Modification of T</w:t>
                            </w:r>
                            <w:r w:rsidRPr="008A5CE5">
                              <w:rPr>
                                <w:vertAlign w:val="subscript"/>
                              </w:rPr>
                              <w:t>err</w:t>
                            </w:r>
                            <w:r>
                              <w:rPr>
                                <w:vertAlign w:val="subscript"/>
                              </w:rPr>
                              <w:t xml:space="preserve"> </w:t>
                            </w:r>
                            <w:r>
                              <w:t>in case large guard period is considered.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5051885" id="Text Box 14" o:spid="_x0000_s1027" type="#_x0000_t202" style="position:absolute;left:0;text-align:left;margin-left:0;margin-top:0;width:7in;height:36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" stroked="f">
                <v:textbox inset="0,0,0,0">
                  <w:txbxContent>
                    <w:p w14:paraId="24A7FE06" w14:textId="6361C19C" w:rsidR="006300B5" w:rsidRPr="005016E2" w:rsidRDefault="006300B5" w:rsidP="008A5CE5">
                      <w:pPr>
                        <w:pStyle w:val="Caption"/>
                        <w:jc w:val="center"/>
                        <w:rPr>
                          <w:noProof/>
                        </w:rPr>
                      </w:pPr>
                      <w:bookmarkStart w:id="18" w:name="_Ref503456453"/>
                      <w:r>
                        <w:t xml:space="preserve">Table </w:t>
                      </w:r>
                      <w:r>
                        <w:fldChar w:fldCharType="begin"/>
                      </w:r>
                      <w:r>
                        <w:instrText xml:space="preserve"> SEQ Table \* ARABIC </w:instrText>
                      </w:r>
                      <w:r>
                        <w:fldChar w:fldCharType="separate"/>
                      </w:r>
                      <w:r>
                        <w:rPr>
                          <w:noProof/>
                        </w:rPr>
                        <w:t>2</w:t>
                      </w:r>
                      <w:r>
                        <w:fldChar w:fldCharType="end"/>
                      </w:r>
                      <w:bookmarkEnd w:id="18"/>
                      <w:r>
                        <w:t>.</w:t>
                      </w:r>
                      <w:r w:rsidRPr="003D591A">
                        <w:t xml:space="preserve"> </w:t>
                      </w:r>
                      <w:r>
                        <w:t>Modification of T</w:t>
                      </w:r>
                      <w:r w:rsidRPr="008A5CE5">
                        <w:rPr>
                          <w:vertAlign w:val="subscript"/>
                        </w:rPr>
                        <w:t>err</w:t>
                      </w:r>
                      <w:r>
                        <w:rPr>
                          <w:vertAlign w:val="subscript"/>
                        </w:rPr>
                        <w:t xml:space="preserve"> </w:t>
                      </w:r>
                      <w:r>
                        <w:t>in case large guard period is considered.</w:t>
                      </w:r>
                    </w:p>
                  </w:txbxContent>
                </v:textbox>
                <w10:wrap type="square"/>
              </v:shape>
            </w:pict>
          </mc:Fallback>
        </mc:AlternateContent>
      </w:r>
      <w:r w:rsidR="003D591A">
        <w:t>In order to ensure interference free operation the cell frame timing error amongst the gNBs need to be kept reasonably small. Keeping the tim</w:t>
      </w:r>
      <w:r w:rsidR="00195E38">
        <w:t>ing error requirement to less 3</w:t>
      </w:r>
      <w:r w:rsidR="003D591A">
        <w:t>us would allow the legacy 4G and 3G networks to be leveraged as over the air reference synchronization sources. In order to achieve this, we make the following recommendations:</w:t>
      </w:r>
    </w:p>
    <w:p w14:paraId="570310D3" w14:textId="43C02869" w:rsidR="003D591A" w:rsidRDefault="003D591A" w:rsidP="008A5CE5">
      <w:pPr>
        <w:pStyle w:val="ListParagraph"/>
        <w:numPr>
          <w:ilvl w:val="0"/>
          <w:numId w:val="54"/>
        </w:numPr>
        <w:jc w:val="both"/>
      </w:pPr>
      <w:r>
        <w:t>Make the guard period G</w:t>
      </w:r>
      <w:r w:rsidR="00255E59">
        <w:t xml:space="preserve">P subcarrier spacing dependent such that </w:t>
      </w:r>
      <w:r>
        <w:t xml:space="preserve">for SCS = [15, 30, 60, 120] </w:t>
      </w:r>
      <w:r w:rsidR="00255E59">
        <w:t xml:space="preserve">KHz </w:t>
      </w:r>
      <w:r>
        <w:t xml:space="preserve">GP </w:t>
      </w:r>
      <w:r w:rsidR="00255E59">
        <w:t xml:space="preserve">should be quale to </w:t>
      </w:r>
      <w:r w:rsidR="0055460C">
        <w:t>Tsym * [</w:t>
      </w:r>
      <w:r>
        <w:t xml:space="preserve">1, 1, 2, 2]   </w:t>
      </w:r>
    </w:p>
    <w:p w14:paraId="5BD32319" w14:textId="543875C9" w:rsidR="0081223F" w:rsidRPr="008A5CE5" w:rsidRDefault="003D591A" w:rsidP="008A5CE5">
      <w:pPr>
        <w:pStyle w:val="ListParagraph"/>
        <w:numPr>
          <w:ilvl w:val="0"/>
          <w:numId w:val="54"/>
        </w:numPr>
        <w:jc w:val="both"/>
        <w:rPr>
          <w:bCs/>
          <w:iCs/>
          <w:lang w:val="en-US"/>
        </w:rPr>
      </w:pPr>
      <w:r>
        <w:t>Set the UE Timing offset TAoffset = GP/2 -Tcell according to (1-8). This will also be a subcarrier spacing dependent parameter.</w:t>
      </w:r>
    </w:p>
    <w:p w14:paraId="3C89A217" w14:textId="2461AA7C" w:rsidR="003D591A" w:rsidRDefault="00195E38" w:rsidP="00195E38">
      <w:pPr>
        <w:jc w:val="both"/>
        <w:rPr>
          <w:bCs/>
          <w:iCs/>
          <w:lang w:val="en-US"/>
        </w:rPr>
      </w:pPr>
      <w:r>
        <w:rPr>
          <w:bCs/>
          <w:iCs/>
          <w:lang w:val="en-US"/>
        </w:rPr>
        <w:t xml:space="preserve">For the sake of completeness, an </w:t>
      </w:r>
      <w:r w:rsidR="003D591A">
        <w:rPr>
          <w:bCs/>
          <w:iCs/>
          <w:lang w:val="en-US"/>
        </w:rPr>
        <w:t>alte</w:t>
      </w:r>
      <w:r>
        <w:rPr>
          <w:bCs/>
          <w:iCs/>
          <w:lang w:val="en-US"/>
        </w:rPr>
        <w:t>rnative approach would be the following</w:t>
      </w:r>
      <w:r w:rsidR="00FD61A3">
        <w:rPr>
          <w:bCs/>
          <w:iCs/>
          <w:lang w:val="en-US"/>
        </w:rPr>
        <w:t>:</w:t>
      </w:r>
    </w:p>
    <w:p w14:paraId="3BFDE144" w14:textId="53CB05DE" w:rsidR="00FD61A3" w:rsidRPr="00FD61A3" w:rsidRDefault="00C303E4" w:rsidP="008A5CE5">
      <w:pPr>
        <w:pStyle w:val="ListParagraph"/>
        <w:numPr>
          <w:ilvl w:val="0"/>
          <w:numId w:val="55"/>
        </w:numPr>
        <w:jc w:val="both"/>
        <w:rPr>
          <w:lang w:val="en-US"/>
        </w:rPr>
      </w:pPr>
      <w:r>
        <w:t>For 60KHz SCS: reduce</w:t>
      </w:r>
      <w:r w:rsidR="00FD61A3">
        <w:t xml:space="preserve"> gNB and UE Tx-&gt;ONOFF and Tx_OFFON times </w:t>
      </w:r>
      <w:r>
        <w:t xml:space="preserve">from </w:t>
      </w:r>
      <w:r w:rsidR="00FD61A3">
        <w:t xml:space="preserve">10 </w:t>
      </w:r>
      <w:r>
        <w:t>to</w:t>
      </w:r>
      <w:r w:rsidR="00FD61A3">
        <w:t xml:space="preserve"> 7us and tighten the cell frame timing error </w:t>
      </w:r>
      <w:r>
        <w:t>from 3 to</w:t>
      </w:r>
      <w:r w:rsidR="00FD61A3">
        <w:t xml:space="preserve"> 1us</w:t>
      </w:r>
    </w:p>
    <w:p w14:paraId="15B7B8B6" w14:textId="007D03F0" w:rsidR="00FD61A3" w:rsidRDefault="00FD61A3" w:rsidP="008A5CE5">
      <w:pPr>
        <w:pStyle w:val="ListParagraph"/>
        <w:numPr>
          <w:ilvl w:val="0"/>
          <w:numId w:val="55"/>
        </w:numPr>
        <w:jc w:val="both"/>
      </w:pPr>
      <w:r>
        <w:t xml:space="preserve">For 120KHz:  </w:t>
      </w:r>
      <w:r w:rsidR="00C303E4">
        <w:t xml:space="preserve">reduce </w:t>
      </w:r>
      <w:r>
        <w:t>the UE Tx-&gt;ONOF</w:t>
      </w:r>
      <w:r w:rsidR="00C303E4">
        <w:t>F and Tx_OFFON times 5 -&gt; 3 us and</w:t>
      </w:r>
      <w:r>
        <w:t xml:space="preserve"> tighten the cell frame timing error 3 </w:t>
      </w:r>
      <w:r w:rsidRPr="00FD61A3">
        <w:rPr>
          <w:rFonts w:ascii="Wingdings" w:hAnsi="Wingdings"/>
        </w:rPr>
        <w:t></w:t>
      </w:r>
      <w:r>
        <w:t xml:space="preserve"> 1us</w:t>
      </w:r>
    </w:p>
    <w:p w14:paraId="570CB97F" w14:textId="0F40A15B" w:rsidR="003B4945" w:rsidRDefault="003B4945" w:rsidP="00690467">
      <w:pPr>
        <w:jc w:val="both"/>
      </w:pPr>
      <w:r>
        <w:t xml:space="preserve">Based on the analysis presented in this paper we invite RAN4 to discuss all the </w:t>
      </w:r>
      <w:r w:rsidR="008A7CB3">
        <w:t xml:space="preserve">implications of BS cell frame synchronization </w:t>
      </w:r>
      <w:r>
        <w:t>before finalizing the</w:t>
      </w:r>
      <w:r w:rsidR="008A7CB3">
        <w:t xml:space="preserve"> requirement in NR technical specifications</w:t>
      </w:r>
      <w:r>
        <w:t>.</w:t>
      </w:r>
      <w:r w:rsidR="008A7CB3">
        <w:t xml:space="preserve"> </w:t>
      </w:r>
    </w:p>
    <w:p w14:paraId="3FA10094" w14:textId="0366BEF8" w:rsidR="0055460C" w:rsidRPr="008A5CE5" w:rsidRDefault="00791769" w:rsidP="00690467">
      <w:pPr>
        <w:jc w:val="both"/>
        <w:rPr>
          <w:b/>
          <w:bCs/>
          <w:i/>
          <w:iCs/>
          <w:lang w:val="en-US"/>
        </w:rPr>
      </w:pPr>
      <w:r w:rsidRPr="008A5CE5">
        <w:rPr>
          <w:b/>
          <w:i/>
        </w:rPr>
        <w:t>Proposal</w:t>
      </w:r>
      <w:r w:rsidR="00195E38" w:rsidRPr="008A5CE5">
        <w:rPr>
          <w:b/>
          <w:i/>
        </w:rPr>
        <w:t xml:space="preserve">: </w:t>
      </w:r>
      <w:r w:rsidR="0055460C">
        <w:rPr>
          <w:b/>
          <w:i/>
        </w:rPr>
        <w:t xml:space="preserve">based on </w:t>
      </w:r>
      <w:r w:rsidR="0055460C" w:rsidRPr="008A5CE5">
        <w:rPr>
          <w:b/>
          <w:i/>
          <w:lang w:val="en-US"/>
        </w:rPr>
        <w:t>the relationship across different UE and BS timing requirements, and their implications on the cross devices interference</w:t>
      </w:r>
      <w:r w:rsidR="0055460C">
        <w:rPr>
          <w:b/>
          <w:i/>
          <w:lang w:val="en-US"/>
        </w:rPr>
        <w:t xml:space="preserve">, </w:t>
      </w:r>
      <w:r w:rsidR="00514A4B">
        <w:rPr>
          <w:b/>
          <w:i/>
          <w:lang w:val="en-US"/>
        </w:rPr>
        <w:t>different approaches can be adopted to maintain the right synchronization requirements. A trade-off across differ</w:t>
      </w:r>
      <w:r w:rsidR="007C2F00">
        <w:rPr>
          <w:b/>
          <w:i/>
          <w:lang w:val="en-US"/>
        </w:rPr>
        <w:t xml:space="preserve">ent system parameters is needed. </w:t>
      </w:r>
      <w:r w:rsidR="003B4945">
        <w:rPr>
          <w:b/>
          <w:i/>
          <w:lang w:val="en-US"/>
        </w:rPr>
        <w:t>For instance, t</w:t>
      </w:r>
      <w:r w:rsidR="003B4945" w:rsidRPr="007C2F00">
        <w:rPr>
          <w:b/>
          <w:i/>
          <w:lang w:val="en-US"/>
        </w:rPr>
        <w:t>ighter BS sync requirement could reduce the needed guard period and increase system capacity</w:t>
      </w:r>
      <w:r w:rsidR="003B4945">
        <w:rPr>
          <w:b/>
          <w:i/>
          <w:lang w:val="en-US"/>
        </w:rPr>
        <w:t xml:space="preserve">. </w:t>
      </w:r>
      <w:r w:rsidR="00514A4B">
        <w:rPr>
          <w:b/>
          <w:i/>
          <w:lang w:val="en-US"/>
        </w:rPr>
        <w:t>W</w:t>
      </w:r>
      <w:r w:rsidR="0055460C">
        <w:rPr>
          <w:b/>
          <w:i/>
          <w:lang w:val="en-US"/>
        </w:rPr>
        <w:t xml:space="preserve">e </w:t>
      </w:r>
      <w:r w:rsidR="00514A4B">
        <w:rPr>
          <w:b/>
          <w:i/>
          <w:lang w:val="en-US"/>
        </w:rPr>
        <w:t>propose to discuss the details presented in this contribution before finalizing the BS cell frame synchronization requirement.</w:t>
      </w:r>
      <w:r w:rsidR="007C2F00">
        <w:rPr>
          <w:b/>
          <w:i/>
          <w:lang w:val="en-US"/>
        </w:rPr>
        <w:t xml:space="preserve"> </w:t>
      </w:r>
    </w:p>
    <w:p w14:paraId="4DF65FBB"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6B4EE1A1" w14:textId="3582A5FD" w:rsidR="0055460C" w:rsidRDefault="00F35409" w:rsidP="002E3271">
      <w:pPr>
        <w:jc w:val="both"/>
        <w:rPr>
          <w:lang w:val="en-US"/>
        </w:rPr>
      </w:pPr>
      <w:r>
        <w:rPr>
          <w:lang w:val="en-US"/>
        </w:rPr>
        <w:t>In this contribution</w:t>
      </w:r>
      <w:r w:rsidR="001C7920">
        <w:rPr>
          <w:lang w:val="en-US"/>
        </w:rPr>
        <w:t>,</w:t>
      </w:r>
      <w:r>
        <w:rPr>
          <w:lang w:val="en-US"/>
        </w:rPr>
        <w:t xml:space="preserve"> </w:t>
      </w:r>
      <w:r w:rsidR="0060522D">
        <w:rPr>
          <w:lang w:val="en-US"/>
        </w:rPr>
        <w:t xml:space="preserve">we focused on </w:t>
      </w:r>
      <w:r w:rsidR="005E067E">
        <w:rPr>
          <w:lang w:val="en-US"/>
        </w:rPr>
        <w:t>c</w:t>
      </w:r>
      <w:r w:rsidR="005E067E" w:rsidRPr="005E067E">
        <w:rPr>
          <w:lang w:val="en-US"/>
        </w:rPr>
        <w:t xml:space="preserve">ell </w:t>
      </w:r>
      <w:r w:rsidR="005E067E">
        <w:rPr>
          <w:lang w:val="en-US"/>
        </w:rPr>
        <w:t>frame synchronization accuracy r</w:t>
      </w:r>
      <w:r w:rsidR="005E067E" w:rsidRPr="005E067E">
        <w:rPr>
          <w:lang w:val="en-US"/>
        </w:rPr>
        <w:t>equirements</w:t>
      </w:r>
      <w:r w:rsidR="00912435">
        <w:rPr>
          <w:lang w:val="en-US"/>
        </w:rPr>
        <w:t>. Based on overall evaluation of timing requirements we made the following proposal:</w:t>
      </w:r>
    </w:p>
    <w:p w14:paraId="7026A456" w14:textId="17C26B22" w:rsidR="003B4945" w:rsidRDefault="003B4945" w:rsidP="002E3271">
      <w:pPr>
        <w:jc w:val="both"/>
        <w:rPr>
          <w:lang w:val="en-US"/>
        </w:rPr>
      </w:pPr>
      <w:r w:rsidRPr="008A5CE5">
        <w:rPr>
          <w:b/>
          <w:i/>
        </w:rPr>
        <w:t xml:space="preserve">Proposal: </w:t>
      </w:r>
      <w:r>
        <w:rPr>
          <w:b/>
          <w:i/>
        </w:rPr>
        <w:t xml:space="preserve">based on </w:t>
      </w:r>
      <w:r w:rsidRPr="008A5CE5">
        <w:rPr>
          <w:b/>
          <w:i/>
          <w:lang w:val="en-US"/>
        </w:rPr>
        <w:t>the relationship across different UE and BS timing requirements, and their implications on the cross devices interference</w:t>
      </w:r>
      <w:r>
        <w:rPr>
          <w:b/>
          <w:i/>
          <w:lang w:val="en-US"/>
        </w:rPr>
        <w:t xml:space="preserve">, different approaches can be adopted to maintain the right synchronization requirements. </w:t>
      </w:r>
      <w:r>
        <w:rPr>
          <w:b/>
          <w:i/>
          <w:lang w:val="en-US"/>
        </w:rPr>
        <w:lastRenderedPageBreak/>
        <w:t>A trade-off across different system parameters is needed. For instance, t</w:t>
      </w:r>
      <w:r w:rsidRPr="007C2F00">
        <w:rPr>
          <w:b/>
          <w:i/>
          <w:lang w:val="en-US"/>
        </w:rPr>
        <w:t>ighter BS sync requirement could reduce the needed guard period and increase system capacity</w:t>
      </w:r>
      <w:r>
        <w:rPr>
          <w:b/>
          <w:i/>
          <w:lang w:val="en-US"/>
        </w:rPr>
        <w:t>. We propose to discuss the details presented in this contribution before finalizing the BS cell frame synchronization requirement.</w:t>
      </w:r>
    </w:p>
    <w:p w14:paraId="71D745FE"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6AA5053A" w14:textId="0E4F9ED7" w:rsidR="004C72FB" w:rsidRDefault="004C72FB" w:rsidP="004C72FB">
      <w:pPr>
        <w:pStyle w:val="ListParagraph"/>
        <w:numPr>
          <w:ilvl w:val="0"/>
          <w:numId w:val="2"/>
        </w:numPr>
      </w:pPr>
      <w:bookmarkStart w:id="17" w:name="_Ref503363305"/>
      <w:r>
        <w:t>3GPP TS 36.922 v13.0.0.</w:t>
      </w:r>
      <w:r w:rsidR="00DE4FED">
        <w:t xml:space="preserve"> </w:t>
      </w:r>
      <w:r>
        <w:t>sec 6.4 TDD Home eNode B (HeNB) Radio Frequency (RF) requirements analysis.</w:t>
      </w:r>
      <w:bookmarkEnd w:id="17"/>
    </w:p>
    <w:p w14:paraId="57C667E6" w14:textId="77777777" w:rsidR="004C72FB" w:rsidRDefault="004C72FB" w:rsidP="004C72FB">
      <w:pPr>
        <w:pStyle w:val="ListParagraph"/>
        <w:numPr>
          <w:ilvl w:val="0"/>
          <w:numId w:val="2"/>
        </w:numPr>
      </w:pPr>
      <w:bookmarkStart w:id="18" w:name="_Ref503363311"/>
      <w:r>
        <w:t>3GPP TS 36.133 v13.7.0. sec 7.4 Requirements for support of radio resource management.</w:t>
      </w:r>
      <w:bookmarkEnd w:id="18"/>
    </w:p>
    <w:p w14:paraId="718CB69F" w14:textId="77777777" w:rsidR="004C72FB" w:rsidRDefault="004C72FB" w:rsidP="004C72FB">
      <w:pPr>
        <w:pStyle w:val="ListParagraph"/>
        <w:numPr>
          <w:ilvl w:val="0"/>
          <w:numId w:val="2"/>
        </w:numPr>
      </w:pPr>
      <w:bookmarkStart w:id="19" w:name="_Ref503367547"/>
      <w:r>
        <w:t>R4-1706715, “Cell Phase synchronization for NR”, Ericsson, Nokia</w:t>
      </w:r>
      <w:bookmarkEnd w:id="19"/>
      <w:r w:rsidR="00D77720">
        <w:t>.</w:t>
      </w:r>
    </w:p>
    <w:p w14:paraId="3E46EA52" w14:textId="53C0CEB7" w:rsidR="004C72FB" w:rsidRDefault="004C72FB" w:rsidP="004C72FB">
      <w:pPr>
        <w:pStyle w:val="ListParagraph"/>
        <w:numPr>
          <w:ilvl w:val="0"/>
          <w:numId w:val="2"/>
        </w:numPr>
      </w:pPr>
      <w:bookmarkStart w:id="20" w:name="_Ref503367549"/>
      <w:r>
        <w:t xml:space="preserve">R4-1706734, </w:t>
      </w:r>
      <w:r w:rsidR="00CA0096">
        <w:t>“</w:t>
      </w:r>
      <w:r>
        <w:t>Further discussion on BS synchronization requirements in NR</w:t>
      </w:r>
      <w:bookmarkEnd w:id="20"/>
      <w:r w:rsidR="00CA0096">
        <w:t>”, Huawei, HiSilicon.</w:t>
      </w:r>
    </w:p>
    <w:p w14:paraId="41982FAB" w14:textId="0FF5F220" w:rsidR="004C72FB" w:rsidRDefault="004C72FB" w:rsidP="004C72FB">
      <w:pPr>
        <w:pStyle w:val="ListParagraph"/>
        <w:numPr>
          <w:ilvl w:val="0"/>
          <w:numId w:val="2"/>
        </w:numPr>
      </w:pPr>
      <w:bookmarkStart w:id="21" w:name="_Ref503367551"/>
      <w:r>
        <w:t xml:space="preserve">R4-1708220, </w:t>
      </w:r>
      <w:r w:rsidR="00CA0096">
        <w:t>“</w:t>
      </w:r>
      <w:r>
        <w:t>TP for cell phase synchronization requirements for NR</w:t>
      </w:r>
      <w:bookmarkEnd w:id="21"/>
      <w:r w:rsidR="00CA0096">
        <w:t>”, Huawei, HiSilicon.</w:t>
      </w:r>
    </w:p>
    <w:p w14:paraId="066991D6" w14:textId="3C1FCC4F" w:rsidR="004C72FB" w:rsidRDefault="004C72FB" w:rsidP="004C72FB">
      <w:pPr>
        <w:pStyle w:val="ListParagraph"/>
        <w:numPr>
          <w:ilvl w:val="0"/>
          <w:numId w:val="2"/>
        </w:numPr>
      </w:pPr>
      <w:bookmarkStart w:id="22" w:name="_Ref503369283"/>
      <w:r>
        <w:t>3GPP E-UTRA</w:t>
      </w:r>
      <w:r w:rsidR="00D77720">
        <w:t xml:space="preserve"> TS 36.211</w:t>
      </w:r>
      <w:r>
        <w:t xml:space="preserve">; </w:t>
      </w:r>
      <w:r w:rsidR="00D77720">
        <w:t xml:space="preserve">“E-UTRA </w:t>
      </w:r>
      <w:r>
        <w:t>Physical channels and modulation</w:t>
      </w:r>
      <w:r w:rsidR="00D77720">
        <w:t>”</w:t>
      </w:r>
      <w:r>
        <w:t>, sec 8.1</w:t>
      </w:r>
      <w:r w:rsidR="00D77720">
        <w:t>.</w:t>
      </w:r>
      <w:bookmarkEnd w:id="22"/>
    </w:p>
    <w:p w14:paraId="1B0C62A3" w14:textId="7A1E1511" w:rsidR="004C72FB" w:rsidRDefault="004C72FB" w:rsidP="00E93DE9">
      <w:pPr>
        <w:pStyle w:val="ListParagraph"/>
        <w:numPr>
          <w:ilvl w:val="0"/>
          <w:numId w:val="2"/>
        </w:numPr>
      </w:pPr>
      <w:bookmarkStart w:id="23" w:name="_Ref503456073"/>
      <w:r>
        <w:t xml:space="preserve">R4-1706317, </w:t>
      </w:r>
      <w:r w:rsidR="00CA0096">
        <w:t>“</w:t>
      </w:r>
      <w:r>
        <w:t>WF On Off Mask Transient Time</w:t>
      </w:r>
      <w:r w:rsidR="00CA0096">
        <w:t>”,</w:t>
      </w:r>
      <w:r w:rsidR="00E93DE9">
        <w:t xml:space="preserve"> </w:t>
      </w:r>
      <w:r w:rsidR="00E93DE9" w:rsidRPr="00E93DE9">
        <w:t>Qualcomm, Intel, CATT, Ericsson, Huawei</w:t>
      </w:r>
      <w:r w:rsidR="00E93DE9">
        <w:t>.</w:t>
      </w:r>
      <w:bookmarkEnd w:id="23"/>
      <w:r>
        <w:t xml:space="preserve"> </w:t>
      </w:r>
    </w:p>
    <w:p w14:paraId="797F8995" w14:textId="3C479F21" w:rsidR="005B0F9F" w:rsidRPr="008A5CE5" w:rsidRDefault="004C72FB" w:rsidP="008A5CE5">
      <w:pPr>
        <w:pStyle w:val="ListParagraph"/>
        <w:numPr>
          <w:ilvl w:val="0"/>
          <w:numId w:val="2"/>
        </w:numPr>
        <w:rPr>
          <w:lang w:val="en-US"/>
        </w:rPr>
      </w:pPr>
      <w:bookmarkStart w:id="24" w:name="_Ref503456075"/>
      <w:r>
        <w:t xml:space="preserve">R4-1703046, </w:t>
      </w:r>
      <w:r w:rsidR="00E93DE9">
        <w:t>“</w:t>
      </w:r>
      <w:r>
        <w:t>Transient time – impact ON OFF time mask</w:t>
      </w:r>
      <w:r w:rsidR="00E93DE9">
        <w:t xml:space="preserve">”, </w:t>
      </w:r>
      <w:r w:rsidR="00E93DE9" w:rsidRPr="00E93DE9">
        <w:t>Qualcomm Incorporated</w:t>
      </w:r>
      <w:r w:rsidR="00E93DE9">
        <w:t>.</w:t>
      </w:r>
      <w:bookmarkEnd w:id="24"/>
    </w:p>
    <w:sectPr w:rsidR="005B0F9F" w:rsidRPr="008A5CE5"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5756E" w14:textId="77777777" w:rsidR="000B6BD3" w:rsidRDefault="000B6BD3">
      <w:r>
        <w:separator/>
      </w:r>
    </w:p>
  </w:endnote>
  <w:endnote w:type="continuationSeparator" w:id="0">
    <w:p w14:paraId="00EEAECD" w14:textId="77777777" w:rsidR="000B6BD3" w:rsidRDefault="000B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32B9F" w14:textId="77777777" w:rsidR="006300B5" w:rsidRDefault="006300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55D5B22" w14:textId="77777777" w:rsidR="006300B5" w:rsidRDefault="006300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88286" w14:textId="2394C49D" w:rsidR="006300B5" w:rsidRDefault="006300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77FA9">
      <w:rPr>
        <w:rStyle w:val="PageNumber"/>
      </w:rPr>
      <w:t>1</w:t>
    </w:r>
    <w:r>
      <w:rPr>
        <w:rStyle w:val="PageNumber"/>
      </w:rPr>
      <w:fldChar w:fldCharType="end"/>
    </w:r>
  </w:p>
  <w:p w14:paraId="4DE41BB5" w14:textId="77777777" w:rsidR="006300B5" w:rsidRDefault="006300B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B8CB6" w14:textId="77777777" w:rsidR="000B6BD3" w:rsidRDefault="000B6BD3">
      <w:r>
        <w:separator/>
      </w:r>
    </w:p>
  </w:footnote>
  <w:footnote w:type="continuationSeparator" w:id="0">
    <w:p w14:paraId="0F0BC83C" w14:textId="77777777" w:rsidR="000B6BD3" w:rsidRDefault="000B6B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153C8"/>
    <w:multiLevelType w:val="hybridMultilevel"/>
    <w:tmpl w:val="E7C87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1974"/>
    <w:multiLevelType w:val="hybridMultilevel"/>
    <w:tmpl w:val="5DD406F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0" w15:restartNumberingAfterBreak="0">
    <w:nsid w:val="144E33DB"/>
    <w:multiLevelType w:val="hybridMultilevel"/>
    <w:tmpl w:val="1D60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16B965B4"/>
    <w:multiLevelType w:val="hybridMultilevel"/>
    <w:tmpl w:val="4E9E7E84"/>
    <w:lvl w:ilvl="0" w:tplc="084EDE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E86DB5"/>
    <w:multiLevelType w:val="hybridMultilevel"/>
    <w:tmpl w:val="0358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4465D"/>
    <w:multiLevelType w:val="hybridMultilevel"/>
    <w:tmpl w:val="48486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728D"/>
    <w:multiLevelType w:val="hybridMultilevel"/>
    <w:tmpl w:val="07AA7542"/>
    <w:lvl w:ilvl="0" w:tplc="ACD6FDB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954D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3C8F72FF"/>
    <w:multiLevelType w:val="hybridMultilevel"/>
    <w:tmpl w:val="E5D82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0338D1"/>
    <w:multiLevelType w:val="hybridMultilevel"/>
    <w:tmpl w:val="BBD0C2D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439869CD"/>
    <w:multiLevelType w:val="hybridMultilevel"/>
    <w:tmpl w:val="69B8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CE56F2"/>
    <w:multiLevelType w:val="hybridMultilevel"/>
    <w:tmpl w:val="93B03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09307B"/>
    <w:multiLevelType w:val="hybridMultilevel"/>
    <w:tmpl w:val="15248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1A27BF"/>
    <w:multiLevelType w:val="hybridMultilevel"/>
    <w:tmpl w:val="24B45D38"/>
    <w:lvl w:ilvl="0" w:tplc="A00A42D6">
      <w:start w:val="1"/>
      <w:numFmt w:val="bullet"/>
      <w:lvlText w:val="•"/>
      <w:lvlJc w:val="left"/>
      <w:pPr>
        <w:tabs>
          <w:tab w:val="num" w:pos="720"/>
        </w:tabs>
        <w:ind w:left="720" w:hanging="360"/>
      </w:pPr>
      <w:rPr>
        <w:rFonts w:ascii="Arial" w:hAnsi="Arial" w:hint="default"/>
      </w:rPr>
    </w:lvl>
    <w:lvl w:ilvl="1" w:tplc="5BD6AD6A">
      <w:numFmt w:val="bullet"/>
      <w:lvlText w:val="•"/>
      <w:lvlJc w:val="left"/>
      <w:pPr>
        <w:tabs>
          <w:tab w:val="num" w:pos="1440"/>
        </w:tabs>
        <w:ind w:left="1440" w:hanging="360"/>
      </w:pPr>
      <w:rPr>
        <w:rFonts w:ascii="Arial" w:hAnsi="Arial" w:hint="default"/>
      </w:rPr>
    </w:lvl>
    <w:lvl w:ilvl="2" w:tplc="408C9418" w:tentative="1">
      <w:start w:val="1"/>
      <w:numFmt w:val="bullet"/>
      <w:lvlText w:val="•"/>
      <w:lvlJc w:val="left"/>
      <w:pPr>
        <w:tabs>
          <w:tab w:val="num" w:pos="2160"/>
        </w:tabs>
        <w:ind w:left="2160" w:hanging="360"/>
      </w:pPr>
      <w:rPr>
        <w:rFonts w:ascii="Arial" w:hAnsi="Arial" w:hint="default"/>
      </w:rPr>
    </w:lvl>
    <w:lvl w:ilvl="3" w:tplc="D53C0396" w:tentative="1">
      <w:start w:val="1"/>
      <w:numFmt w:val="bullet"/>
      <w:lvlText w:val="•"/>
      <w:lvlJc w:val="left"/>
      <w:pPr>
        <w:tabs>
          <w:tab w:val="num" w:pos="2880"/>
        </w:tabs>
        <w:ind w:left="2880" w:hanging="360"/>
      </w:pPr>
      <w:rPr>
        <w:rFonts w:ascii="Arial" w:hAnsi="Arial" w:hint="default"/>
      </w:rPr>
    </w:lvl>
    <w:lvl w:ilvl="4" w:tplc="FC445E4E" w:tentative="1">
      <w:start w:val="1"/>
      <w:numFmt w:val="bullet"/>
      <w:lvlText w:val="•"/>
      <w:lvlJc w:val="left"/>
      <w:pPr>
        <w:tabs>
          <w:tab w:val="num" w:pos="3600"/>
        </w:tabs>
        <w:ind w:left="3600" w:hanging="360"/>
      </w:pPr>
      <w:rPr>
        <w:rFonts w:ascii="Arial" w:hAnsi="Arial" w:hint="default"/>
      </w:rPr>
    </w:lvl>
    <w:lvl w:ilvl="5" w:tplc="356A9020" w:tentative="1">
      <w:start w:val="1"/>
      <w:numFmt w:val="bullet"/>
      <w:lvlText w:val="•"/>
      <w:lvlJc w:val="left"/>
      <w:pPr>
        <w:tabs>
          <w:tab w:val="num" w:pos="4320"/>
        </w:tabs>
        <w:ind w:left="4320" w:hanging="360"/>
      </w:pPr>
      <w:rPr>
        <w:rFonts w:ascii="Arial" w:hAnsi="Arial" w:hint="default"/>
      </w:rPr>
    </w:lvl>
    <w:lvl w:ilvl="6" w:tplc="8E68B860" w:tentative="1">
      <w:start w:val="1"/>
      <w:numFmt w:val="bullet"/>
      <w:lvlText w:val="•"/>
      <w:lvlJc w:val="left"/>
      <w:pPr>
        <w:tabs>
          <w:tab w:val="num" w:pos="5040"/>
        </w:tabs>
        <w:ind w:left="5040" w:hanging="360"/>
      </w:pPr>
      <w:rPr>
        <w:rFonts w:ascii="Arial" w:hAnsi="Arial" w:hint="default"/>
      </w:rPr>
    </w:lvl>
    <w:lvl w:ilvl="7" w:tplc="B3100358" w:tentative="1">
      <w:start w:val="1"/>
      <w:numFmt w:val="bullet"/>
      <w:lvlText w:val="•"/>
      <w:lvlJc w:val="left"/>
      <w:pPr>
        <w:tabs>
          <w:tab w:val="num" w:pos="5760"/>
        </w:tabs>
        <w:ind w:left="5760" w:hanging="360"/>
      </w:pPr>
      <w:rPr>
        <w:rFonts w:ascii="Arial" w:hAnsi="Arial" w:hint="default"/>
      </w:rPr>
    </w:lvl>
    <w:lvl w:ilvl="8" w:tplc="C9B831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CD4137"/>
    <w:multiLevelType w:val="hybridMultilevel"/>
    <w:tmpl w:val="53E27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F9289E"/>
    <w:multiLevelType w:val="hybridMultilevel"/>
    <w:tmpl w:val="5420E3E6"/>
    <w:lvl w:ilvl="0" w:tplc="74E4C12C">
      <w:start w:val="1"/>
      <w:numFmt w:val="decimal"/>
      <w:pStyle w:val="Table-Number"/>
      <w:lvlText w:val="Table %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68107FB8"/>
    <w:multiLevelType w:val="hybridMultilevel"/>
    <w:tmpl w:val="3A7E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C62F25"/>
    <w:multiLevelType w:val="hybridMultilevel"/>
    <w:tmpl w:val="CC0C8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E101C21"/>
    <w:multiLevelType w:val="hybridMultilevel"/>
    <w:tmpl w:val="BBE4B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592505"/>
    <w:multiLevelType w:val="hybridMultilevel"/>
    <w:tmpl w:val="F19224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41"/>
  </w:num>
  <w:num w:numId="3">
    <w:abstractNumId w:val="47"/>
  </w:num>
  <w:num w:numId="4">
    <w:abstractNumId w:val="51"/>
  </w:num>
  <w:num w:numId="5">
    <w:abstractNumId w:val="36"/>
  </w:num>
  <w:num w:numId="6">
    <w:abstractNumId w:val="20"/>
  </w:num>
  <w:num w:numId="7">
    <w:abstractNumId w:val="7"/>
  </w:num>
  <w:num w:numId="8">
    <w:abstractNumId w:val="44"/>
  </w:num>
  <w:num w:numId="9">
    <w:abstractNumId w:val="22"/>
  </w:num>
  <w:num w:numId="10">
    <w:abstractNumId w:val="33"/>
  </w:num>
  <w:num w:numId="11">
    <w:abstractNumId w:val="53"/>
  </w:num>
  <w:num w:numId="12">
    <w:abstractNumId w:val="6"/>
  </w:num>
  <w:num w:numId="13">
    <w:abstractNumId w:val="4"/>
  </w:num>
  <w:num w:numId="14">
    <w:abstractNumId w:val="25"/>
  </w:num>
  <w:num w:numId="15">
    <w:abstractNumId w:val="30"/>
  </w:num>
  <w:num w:numId="16">
    <w:abstractNumId w:val="16"/>
  </w:num>
  <w:num w:numId="17">
    <w:abstractNumId w:val="50"/>
  </w:num>
  <w:num w:numId="18">
    <w:abstractNumId w:val="21"/>
  </w:num>
  <w:num w:numId="19">
    <w:abstractNumId w:val="1"/>
  </w:num>
  <w:num w:numId="20">
    <w:abstractNumId w:val="15"/>
  </w:num>
  <w:num w:numId="21">
    <w:abstractNumId w:val="17"/>
  </w:num>
  <w:num w:numId="22">
    <w:abstractNumId w:val="2"/>
  </w:num>
  <w:num w:numId="23">
    <w:abstractNumId w:val="11"/>
  </w:num>
  <w:num w:numId="24">
    <w:abstractNumId w:val="18"/>
  </w:num>
  <w:num w:numId="25">
    <w:abstractNumId w:val="46"/>
  </w:num>
  <w:num w:numId="26">
    <w:abstractNumId w:val="24"/>
  </w:num>
  <w:num w:numId="27">
    <w:abstractNumId w:val="48"/>
  </w:num>
  <w:num w:numId="28">
    <w:abstractNumId w:val="38"/>
  </w:num>
  <w:num w:numId="29">
    <w:abstractNumId w:val="3"/>
  </w:num>
  <w:num w:numId="30">
    <w:abstractNumId w:val="35"/>
  </w:num>
  <w:num w:numId="31">
    <w:abstractNumId w:val="13"/>
  </w:num>
  <w:num w:numId="32">
    <w:abstractNumId w:val="9"/>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39"/>
  </w:num>
  <w:num w:numId="36">
    <w:abstractNumId w:val="34"/>
  </w:num>
  <w:num w:numId="37">
    <w:abstractNumId w:val="32"/>
  </w:num>
  <w:num w:numId="38">
    <w:abstractNumId w:val="8"/>
  </w:num>
  <w:num w:numId="39">
    <w:abstractNumId w:val="37"/>
  </w:num>
  <w:num w:numId="40">
    <w:abstractNumId w:val="52"/>
  </w:num>
  <w:num w:numId="41">
    <w:abstractNumId w:val="27"/>
  </w:num>
  <w:num w:numId="42">
    <w:abstractNumId w:val="28"/>
  </w:num>
  <w:num w:numId="43">
    <w:abstractNumId w:val="26"/>
  </w:num>
  <w:num w:numId="44">
    <w:abstractNumId w:val="10"/>
  </w:num>
  <w:num w:numId="45">
    <w:abstractNumId w:val="14"/>
  </w:num>
  <w:num w:numId="46">
    <w:abstractNumId w:val="49"/>
  </w:num>
  <w:num w:numId="47">
    <w:abstractNumId w:val="5"/>
  </w:num>
  <w:num w:numId="48">
    <w:abstractNumId w:val="0"/>
  </w:num>
  <w:num w:numId="49">
    <w:abstractNumId w:val="23"/>
  </w:num>
  <w:num w:numId="50">
    <w:abstractNumId w:val="40"/>
  </w:num>
  <w:num w:numId="51">
    <w:abstractNumId w:val="19"/>
  </w:num>
  <w:num w:numId="52">
    <w:abstractNumId w:val="42"/>
  </w:num>
  <w:num w:numId="53">
    <w:abstractNumId w:val="12"/>
  </w:num>
  <w:num w:numId="54">
    <w:abstractNumId w:val="43"/>
  </w:num>
  <w:num w:numId="55">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355"/>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2E3E"/>
    <w:rsid w:val="00053E42"/>
    <w:rsid w:val="000549BA"/>
    <w:rsid w:val="000550EF"/>
    <w:rsid w:val="00055B21"/>
    <w:rsid w:val="000601B0"/>
    <w:rsid w:val="00061E23"/>
    <w:rsid w:val="00061F66"/>
    <w:rsid w:val="00062ACA"/>
    <w:rsid w:val="00062E5A"/>
    <w:rsid w:val="00062F52"/>
    <w:rsid w:val="00063000"/>
    <w:rsid w:val="000635C0"/>
    <w:rsid w:val="0006427B"/>
    <w:rsid w:val="000642D1"/>
    <w:rsid w:val="0006440F"/>
    <w:rsid w:val="00065A12"/>
    <w:rsid w:val="00066EEB"/>
    <w:rsid w:val="00067769"/>
    <w:rsid w:val="00067D3E"/>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0C6"/>
    <w:rsid w:val="00096131"/>
    <w:rsid w:val="00096860"/>
    <w:rsid w:val="000972E8"/>
    <w:rsid w:val="00097818"/>
    <w:rsid w:val="00097BF2"/>
    <w:rsid w:val="00097CFE"/>
    <w:rsid w:val="000A00A8"/>
    <w:rsid w:val="000A0626"/>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BD3"/>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6E95"/>
    <w:rsid w:val="000F771B"/>
    <w:rsid w:val="000F78E2"/>
    <w:rsid w:val="000F79D0"/>
    <w:rsid w:val="001005AA"/>
    <w:rsid w:val="0010071D"/>
    <w:rsid w:val="0010132C"/>
    <w:rsid w:val="00101A17"/>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5A0"/>
    <w:rsid w:val="00122DA6"/>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8D"/>
    <w:rsid w:val="00194EB2"/>
    <w:rsid w:val="00195150"/>
    <w:rsid w:val="00195C12"/>
    <w:rsid w:val="00195E38"/>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6C66"/>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4ED5"/>
    <w:rsid w:val="00205462"/>
    <w:rsid w:val="002057BB"/>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3BA0"/>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2BE8"/>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475ED"/>
    <w:rsid w:val="00250EF2"/>
    <w:rsid w:val="00251B67"/>
    <w:rsid w:val="00252C82"/>
    <w:rsid w:val="00252C9A"/>
    <w:rsid w:val="00252DDC"/>
    <w:rsid w:val="002530BF"/>
    <w:rsid w:val="002541E7"/>
    <w:rsid w:val="0025423F"/>
    <w:rsid w:val="00254888"/>
    <w:rsid w:val="00255927"/>
    <w:rsid w:val="002559A4"/>
    <w:rsid w:val="00255C09"/>
    <w:rsid w:val="00255E5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2FC"/>
    <w:rsid w:val="00270F79"/>
    <w:rsid w:val="0027136E"/>
    <w:rsid w:val="00272474"/>
    <w:rsid w:val="002728BF"/>
    <w:rsid w:val="002729C7"/>
    <w:rsid w:val="00272CAE"/>
    <w:rsid w:val="002732DD"/>
    <w:rsid w:val="002739D3"/>
    <w:rsid w:val="00274205"/>
    <w:rsid w:val="0027453E"/>
    <w:rsid w:val="002746C8"/>
    <w:rsid w:val="00274925"/>
    <w:rsid w:val="0027504A"/>
    <w:rsid w:val="00276CB0"/>
    <w:rsid w:val="002778DC"/>
    <w:rsid w:val="00277B68"/>
    <w:rsid w:val="00280813"/>
    <w:rsid w:val="0028105E"/>
    <w:rsid w:val="002834C9"/>
    <w:rsid w:val="00283AAC"/>
    <w:rsid w:val="0028415F"/>
    <w:rsid w:val="0028417E"/>
    <w:rsid w:val="00284391"/>
    <w:rsid w:val="00284888"/>
    <w:rsid w:val="00285070"/>
    <w:rsid w:val="00285405"/>
    <w:rsid w:val="002854F2"/>
    <w:rsid w:val="0028581F"/>
    <w:rsid w:val="002865FA"/>
    <w:rsid w:val="002869C0"/>
    <w:rsid w:val="00290FB2"/>
    <w:rsid w:val="002921C4"/>
    <w:rsid w:val="002924EC"/>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3AE6"/>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55BD"/>
    <w:rsid w:val="002C7B2B"/>
    <w:rsid w:val="002C7C8C"/>
    <w:rsid w:val="002C7CC0"/>
    <w:rsid w:val="002D087B"/>
    <w:rsid w:val="002D0BCE"/>
    <w:rsid w:val="002D0C99"/>
    <w:rsid w:val="002D1DB1"/>
    <w:rsid w:val="002D2365"/>
    <w:rsid w:val="002D24AB"/>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271"/>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1D00"/>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3C03"/>
    <w:rsid w:val="003459DE"/>
    <w:rsid w:val="00345CDD"/>
    <w:rsid w:val="00345FF9"/>
    <w:rsid w:val="0034613F"/>
    <w:rsid w:val="0034670C"/>
    <w:rsid w:val="00346BAD"/>
    <w:rsid w:val="003478F5"/>
    <w:rsid w:val="00347912"/>
    <w:rsid w:val="0035071D"/>
    <w:rsid w:val="003508AD"/>
    <w:rsid w:val="00351486"/>
    <w:rsid w:val="00353D8F"/>
    <w:rsid w:val="00354768"/>
    <w:rsid w:val="0035592A"/>
    <w:rsid w:val="00357459"/>
    <w:rsid w:val="00357762"/>
    <w:rsid w:val="003578D2"/>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77FA9"/>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5F3"/>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2D2"/>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416"/>
    <w:rsid w:val="003B29CD"/>
    <w:rsid w:val="003B3BF9"/>
    <w:rsid w:val="003B3D77"/>
    <w:rsid w:val="003B4945"/>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591A"/>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14F6"/>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3F6B"/>
    <w:rsid w:val="004342A0"/>
    <w:rsid w:val="0043453D"/>
    <w:rsid w:val="00434872"/>
    <w:rsid w:val="00435452"/>
    <w:rsid w:val="00436263"/>
    <w:rsid w:val="00436726"/>
    <w:rsid w:val="004372F6"/>
    <w:rsid w:val="00437523"/>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4675"/>
    <w:rsid w:val="00445605"/>
    <w:rsid w:val="00445800"/>
    <w:rsid w:val="0044602B"/>
    <w:rsid w:val="0044606C"/>
    <w:rsid w:val="00446644"/>
    <w:rsid w:val="00446D48"/>
    <w:rsid w:val="00446EAF"/>
    <w:rsid w:val="004473B4"/>
    <w:rsid w:val="00450852"/>
    <w:rsid w:val="00450BBE"/>
    <w:rsid w:val="00451352"/>
    <w:rsid w:val="004517A7"/>
    <w:rsid w:val="00452501"/>
    <w:rsid w:val="00454DF4"/>
    <w:rsid w:val="00454FAD"/>
    <w:rsid w:val="00455884"/>
    <w:rsid w:val="00456226"/>
    <w:rsid w:val="0045683A"/>
    <w:rsid w:val="00457262"/>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66F"/>
    <w:rsid w:val="00466DA4"/>
    <w:rsid w:val="004672D9"/>
    <w:rsid w:val="0046775E"/>
    <w:rsid w:val="0046778F"/>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B1A"/>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50DD"/>
    <w:rsid w:val="004C6A32"/>
    <w:rsid w:val="004C6DCA"/>
    <w:rsid w:val="004C72C7"/>
    <w:rsid w:val="004C72FB"/>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92F"/>
    <w:rsid w:val="004F7081"/>
    <w:rsid w:val="004F7290"/>
    <w:rsid w:val="004F76AF"/>
    <w:rsid w:val="004F7E8A"/>
    <w:rsid w:val="004F7ED0"/>
    <w:rsid w:val="005003DF"/>
    <w:rsid w:val="005007E2"/>
    <w:rsid w:val="005016E2"/>
    <w:rsid w:val="00501D13"/>
    <w:rsid w:val="00501E88"/>
    <w:rsid w:val="00502A3E"/>
    <w:rsid w:val="00503640"/>
    <w:rsid w:val="00504C8A"/>
    <w:rsid w:val="00505386"/>
    <w:rsid w:val="005068E4"/>
    <w:rsid w:val="00506CAE"/>
    <w:rsid w:val="00507514"/>
    <w:rsid w:val="00507B00"/>
    <w:rsid w:val="00507B9C"/>
    <w:rsid w:val="00510ACD"/>
    <w:rsid w:val="00511476"/>
    <w:rsid w:val="0051215D"/>
    <w:rsid w:val="00512F02"/>
    <w:rsid w:val="00514A4B"/>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63AA"/>
    <w:rsid w:val="00547B0A"/>
    <w:rsid w:val="005502BC"/>
    <w:rsid w:val="00550CA9"/>
    <w:rsid w:val="00551763"/>
    <w:rsid w:val="00551FCA"/>
    <w:rsid w:val="00553913"/>
    <w:rsid w:val="0055460C"/>
    <w:rsid w:val="00554B68"/>
    <w:rsid w:val="00554F48"/>
    <w:rsid w:val="00554F7D"/>
    <w:rsid w:val="00555C92"/>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596D"/>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61AF"/>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1C0"/>
    <w:rsid w:val="005D6217"/>
    <w:rsid w:val="005D636E"/>
    <w:rsid w:val="005D717C"/>
    <w:rsid w:val="005D7204"/>
    <w:rsid w:val="005D7C23"/>
    <w:rsid w:val="005E04D0"/>
    <w:rsid w:val="005E05A6"/>
    <w:rsid w:val="005E067E"/>
    <w:rsid w:val="005E0962"/>
    <w:rsid w:val="005E19B4"/>
    <w:rsid w:val="005E1EE7"/>
    <w:rsid w:val="005E2803"/>
    <w:rsid w:val="005E2BEB"/>
    <w:rsid w:val="005E3A2A"/>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22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0B5"/>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000"/>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3DAE"/>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8C"/>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467"/>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C80"/>
    <w:rsid w:val="006A2ED4"/>
    <w:rsid w:val="006A3D8B"/>
    <w:rsid w:val="006A41F1"/>
    <w:rsid w:val="006A4FF4"/>
    <w:rsid w:val="006A50B5"/>
    <w:rsid w:val="006A549A"/>
    <w:rsid w:val="006A5CC9"/>
    <w:rsid w:val="006A64C8"/>
    <w:rsid w:val="006A6823"/>
    <w:rsid w:val="006A7050"/>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593"/>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40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2C5"/>
    <w:rsid w:val="006E778F"/>
    <w:rsid w:val="006E7859"/>
    <w:rsid w:val="006F04FD"/>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498"/>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58E8"/>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27C"/>
    <w:rsid w:val="00762326"/>
    <w:rsid w:val="00762588"/>
    <w:rsid w:val="007628B2"/>
    <w:rsid w:val="00762CB1"/>
    <w:rsid w:val="0076433C"/>
    <w:rsid w:val="007654E5"/>
    <w:rsid w:val="00765F57"/>
    <w:rsid w:val="0076609A"/>
    <w:rsid w:val="007663F2"/>
    <w:rsid w:val="007668C0"/>
    <w:rsid w:val="00770C66"/>
    <w:rsid w:val="007719DB"/>
    <w:rsid w:val="00772F91"/>
    <w:rsid w:val="007732FC"/>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2FF0"/>
    <w:rsid w:val="00783498"/>
    <w:rsid w:val="007846F4"/>
    <w:rsid w:val="007850F8"/>
    <w:rsid w:val="00786A8F"/>
    <w:rsid w:val="00787DCB"/>
    <w:rsid w:val="00790FEC"/>
    <w:rsid w:val="00791761"/>
    <w:rsid w:val="00791769"/>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B68B4"/>
    <w:rsid w:val="007C01B6"/>
    <w:rsid w:val="007C06DA"/>
    <w:rsid w:val="007C1173"/>
    <w:rsid w:val="007C118E"/>
    <w:rsid w:val="007C12C9"/>
    <w:rsid w:val="007C18C2"/>
    <w:rsid w:val="007C2E49"/>
    <w:rsid w:val="007C2EFF"/>
    <w:rsid w:val="007C2F00"/>
    <w:rsid w:val="007C3016"/>
    <w:rsid w:val="007C4E56"/>
    <w:rsid w:val="007C54FC"/>
    <w:rsid w:val="007C599A"/>
    <w:rsid w:val="007C5A4E"/>
    <w:rsid w:val="007C669D"/>
    <w:rsid w:val="007C6872"/>
    <w:rsid w:val="007C6E00"/>
    <w:rsid w:val="007C72A8"/>
    <w:rsid w:val="007C753F"/>
    <w:rsid w:val="007C7837"/>
    <w:rsid w:val="007D05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23F"/>
    <w:rsid w:val="008125C7"/>
    <w:rsid w:val="0081279F"/>
    <w:rsid w:val="00812904"/>
    <w:rsid w:val="00813F05"/>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3BE2"/>
    <w:rsid w:val="0082472F"/>
    <w:rsid w:val="00824D2A"/>
    <w:rsid w:val="00824DFD"/>
    <w:rsid w:val="00825B8F"/>
    <w:rsid w:val="00825E0F"/>
    <w:rsid w:val="008261E8"/>
    <w:rsid w:val="00827F68"/>
    <w:rsid w:val="008310D9"/>
    <w:rsid w:val="008318A3"/>
    <w:rsid w:val="00831AE8"/>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4ECD"/>
    <w:rsid w:val="00875013"/>
    <w:rsid w:val="0087541C"/>
    <w:rsid w:val="008760A4"/>
    <w:rsid w:val="00876FAA"/>
    <w:rsid w:val="008772BE"/>
    <w:rsid w:val="008772D7"/>
    <w:rsid w:val="008778C4"/>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07B"/>
    <w:rsid w:val="00887156"/>
    <w:rsid w:val="0088723B"/>
    <w:rsid w:val="008879A5"/>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5CE5"/>
    <w:rsid w:val="008A7CB3"/>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0D0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6A60"/>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43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2C4"/>
    <w:rsid w:val="00926EC6"/>
    <w:rsid w:val="00927DB4"/>
    <w:rsid w:val="0093022F"/>
    <w:rsid w:val="00930579"/>
    <w:rsid w:val="009307BC"/>
    <w:rsid w:val="00930C2E"/>
    <w:rsid w:val="00930EA5"/>
    <w:rsid w:val="0093144C"/>
    <w:rsid w:val="009314C8"/>
    <w:rsid w:val="0093196F"/>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057"/>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670A5"/>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1ED8"/>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325"/>
    <w:rsid w:val="009A7566"/>
    <w:rsid w:val="009B0165"/>
    <w:rsid w:val="009B0682"/>
    <w:rsid w:val="009B075D"/>
    <w:rsid w:val="009B08CA"/>
    <w:rsid w:val="009B15FC"/>
    <w:rsid w:val="009B17EC"/>
    <w:rsid w:val="009B2851"/>
    <w:rsid w:val="009B2DD8"/>
    <w:rsid w:val="009B37A1"/>
    <w:rsid w:val="009B45EB"/>
    <w:rsid w:val="009B4A09"/>
    <w:rsid w:val="009B4B74"/>
    <w:rsid w:val="009B4E0B"/>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E661C"/>
    <w:rsid w:val="009F1E72"/>
    <w:rsid w:val="009F230A"/>
    <w:rsid w:val="009F4335"/>
    <w:rsid w:val="009F48F8"/>
    <w:rsid w:val="009F603A"/>
    <w:rsid w:val="009F6649"/>
    <w:rsid w:val="009F7216"/>
    <w:rsid w:val="009F7497"/>
    <w:rsid w:val="00A00386"/>
    <w:rsid w:val="00A005D9"/>
    <w:rsid w:val="00A00DD6"/>
    <w:rsid w:val="00A00E73"/>
    <w:rsid w:val="00A014FA"/>
    <w:rsid w:val="00A02615"/>
    <w:rsid w:val="00A027AF"/>
    <w:rsid w:val="00A027D4"/>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1F75"/>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410"/>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3A85"/>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8F5"/>
    <w:rsid w:val="00A67F8B"/>
    <w:rsid w:val="00A704FC"/>
    <w:rsid w:val="00A70A64"/>
    <w:rsid w:val="00A70B2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276"/>
    <w:rsid w:val="00A82513"/>
    <w:rsid w:val="00A828C9"/>
    <w:rsid w:val="00A82CA9"/>
    <w:rsid w:val="00A82F3F"/>
    <w:rsid w:val="00A830D7"/>
    <w:rsid w:val="00A83401"/>
    <w:rsid w:val="00A834BF"/>
    <w:rsid w:val="00A83767"/>
    <w:rsid w:val="00A84C35"/>
    <w:rsid w:val="00A84F42"/>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07"/>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065"/>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BF8"/>
    <w:rsid w:val="00AC7E61"/>
    <w:rsid w:val="00AD032F"/>
    <w:rsid w:val="00AD0B8C"/>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1BE"/>
    <w:rsid w:val="00B07386"/>
    <w:rsid w:val="00B0757A"/>
    <w:rsid w:val="00B075C2"/>
    <w:rsid w:val="00B07D11"/>
    <w:rsid w:val="00B07D3B"/>
    <w:rsid w:val="00B10832"/>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27F59"/>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7880"/>
    <w:rsid w:val="00B509FF"/>
    <w:rsid w:val="00B5194E"/>
    <w:rsid w:val="00B5226E"/>
    <w:rsid w:val="00B53267"/>
    <w:rsid w:val="00B53DBF"/>
    <w:rsid w:val="00B54244"/>
    <w:rsid w:val="00B5471A"/>
    <w:rsid w:val="00B54954"/>
    <w:rsid w:val="00B56138"/>
    <w:rsid w:val="00B57C8E"/>
    <w:rsid w:val="00B6022D"/>
    <w:rsid w:val="00B607A1"/>
    <w:rsid w:val="00B60EB4"/>
    <w:rsid w:val="00B61C7E"/>
    <w:rsid w:val="00B61F6F"/>
    <w:rsid w:val="00B62C25"/>
    <w:rsid w:val="00B63934"/>
    <w:rsid w:val="00B64F9D"/>
    <w:rsid w:val="00B65103"/>
    <w:rsid w:val="00B65AC5"/>
    <w:rsid w:val="00B65D55"/>
    <w:rsid w:val="00B66188"/>
    <w:rsid w:val="00B66B82"/>
    <w:rsid w:val="00B66EC0"/>
    <w:rsid w:val="00B700A3"/>
    <w:rsid w:val="00B72124"/>
    <w:rsid w:val="00B72140"/>
    <w:rsid w:val="00B73844"/>
    <w:rsid w:val="00B73FC3"/>
    <w:rsid w:val="00B7441F"/>
    <w:rsid w:val="00B745E0"/>
    <w:rsid w:val="00B755FD"/>
    <w:rsid w:val="00B7658D"/>
    <w:rsid w:val="00B769EF"/>
    <w:rsid w:val="00B76B53"/>
    <w:rsid w:val="00B76F26"/>
    <w:rsid w:val="00B778AA"/>
    <w:rsid w:val="00B806A3"/>
    <w:rsid w:val="00B81794"/>
    <w:rsid w:val="00B82F31"/>
    <w:rsid w:val="00B84464"/>
    <w:rsid w:val="00B852B5"/>
    <w:rsid w:val="00B8572D"/>
    <w:rsid w:val="00B86269"/>
    <w:rsid w:val="00B872BE"/>
    <w:rsid w:val="00B90500"/>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4AB"/>
    <w:rsid w:val="00BD4554"/>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338"/>
    <w:rsid w:val="00C00F79"/>
    <w:rsid w:val="00C01B14"/>
    <w:rsid w:val="00C021AE"/>
    <w:rsid w:val="00C036B6"/>
    <w:rsid w:val="00C044AF"/>
    <w:rsid w:val="00C046A0"/>
    <w:rsid w:val="00C04709"/>
    <w:rsid w:val="00C04A67"/>
    <w:rsid w:val="00C04E46"/>
    <w:rsid w:val="00C0553B"/>
    <w:rsid w:val="00C0617F"/>
    <w:rsid w:val="00C07FC4"/>
    <w:rsid w:val="00C11D7B"/>
    <w:rsid w:val="00C1248E"/>
    <w:rsid w:val="00C12625"/>
    <w:rsid w:val="00C12C41"/>
    <w:rsid w:val="00C141EB"/>
    <w:rsid w:val="00C14BAC"/>
    <w:rsid w:val="00C14E45"/>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03E4"/>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504C"/>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096"/>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B6C20"/>
    <w:rsid w:val="00CC026C"/>
    <w:rsid w:val="00CC08F5"/>
    <w:rsid w:val="00CC0991"/>
    <w:rsid w:val="00CC1167"/>
    <w:rsid w:val="00CC117D"/>
    <w:rsid w:val="00CC1879"/>
    <w:rsid w:val="00CC21EF"/>
    <w:rsid w:val="00CC26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ACE"/>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3D77"/>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151"/>
    <w:rsid w:val="00D17CAE"/>
    <w:rsid w:val="00D200D5"/>
    <w:rsid w:val="00D205FA"/>
    <w:rsid w:val="00D20AC1"/>
    <w:rsid w:val="00D21232"/>
    <w:rsid w:val="00D21CA2"/>
    <w:rsid w:val="00D21D17"/>
    <w:rsid w:val="00D22E7A"/>
    <w:rsid w:val="00D24D18"/>
    <w:rsid w:val="00D26312"/>
    <w:rsid w:val="00D26419"/>
    <w:rsid w:val="00D26BA2"/>
    <w:rsid w:val="00D273DE"/>
    <w:rsid w:val="00D27E7B"/>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4F4"/>
    <w:rsid w:val="00D557ED"/>
    <w:rsid w:val="00D5648A"/>
    <w:rsid w:val="00D565D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67E32"/>
    <w:rsid w:val="00D70FF7"/>
    <w:rsid w:val="00D717A6"/>
    <w:rsid w:val="00D72F93"/>
    <w:rsid w:val="00D73006"/>
    <w:rsid w:val="00D7304F"/>
    <w:rsid w:val="00D733F3"/>
    <w:rsid w:val="00D7361F"/>
    <w:rsid w:val="00D744C7"/>
    <w:rsid w:val="00D74AC4"/>
    <w:rsid w:val="00D750FB"/>
    <w:rsid w:val="00D75151"/>
    <w:rsid w:val="00D753D3"/>
    <w:rsid w:val="00D76896"/>
    <w:rsid w:val="00D76E51"/>
    <w:rsid w:val="00D770C9"/>
    <w:rsid w:val="00D771A4"/>
    <w:rsid w:val="00D77597"/>
    <w:rsid w:val="00D77720"/>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1D4"/>
    <w:rsid w:val="00D9626E"/>
    <w:rsid w:val="00D96421"/>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51D"/>
    <w:rsid w:val="00DA565E"/>
    <w:rsid w:val="00DA779D"/>
    <w:rsid w:val="00DB2462"/>
    <w:rsid w:val="00DB313B"/>
    <w:rsid w:val="00DB3172"/>
    <w:rsid w:val="00DB38D8"/>
    <w:rsid w:val="00DB3907"/>
    <w:rsid w:val="00DB3C8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24E1"/>
    <w:rsid w:val="00DD335A"/>
    <w:rsid w:val="00DD48D9"/>
    <w:rsid w:val="00DD52D7"/>
    <w:rsid w:val="00DD73DA"/>
    <w:rsid w:val="00DD779D"/>
    <w:rsid w:val="00DD7F58"/>
    <w:rsid w:val="00DE06AD"/>
    <w:rsid w:val="00DE075A"/>
    <w:rsid w:val="00DE0857"/>
    <w:rsid w:val="00DE13D5"/>
    <w:rsid w:val="00DE1AC3"/>
    <w:rsid w:val="00DE25C9"/>
    <w:rsid w:val="00DE2A5B"/>
    <w:rsid w:val="00DE43E9"/>
    <w:rsid w:val="00DE4CEC"/>
    <w:rsid w:val="00DE4FED"/>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BC5"/>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5B1D"/>
    <w:rsid w:val="00E66568"/>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3DE9"/>
    <w:rsid w:val="00E94E5C"/>
    <w:rsid w:val="00E95093"/>
    <w:rsid w:val="00E95EBF"/>
    <w:rsid w:val="00E96A09"/>
    <w:rsid w:val="00E974EB"/>
    <w:rsid w:val="00E976AD"/>
    <w:rsid w:val="00E978BC"/>
    <w:rsid w:val="00E97D31"/>
    <w:rsid w:val="00EA06F1"/>
    <w:rsid w:val="00EA1781"/>
    <w:rsid w:val="00EA22B3"/>
    <w:rsid w:val="00EA30B3"/>
    <w:rsid w:val="00EA4856"/>
    <w:rsid w:val="00EA4A7A"/>
    <w:rsid w:val="00EA515F"/>
    <w:rsid w:val="00EA544B"/>
    <w:rsid w:val="00EA6358"/>
    <w:rsid w:val="00EA6788"/>
    <w:rsid w:val="00EA6E0C"/>
    <w:rsid w:val="00EA769D"/>
    <w:rsid w:val="00EB073A"/>
    <w:rsid w:val="00EB07AF"/>
    <w:rsid w:val="00EB18D5"/>
    <w:rsid w:val="00EB1B3C"/>
    <w:rsid w:val="00EB21F4"/>
    <w:rsid w:val="00EB2D5A"/>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2BB"/>
    <w:rsid w:val="00ED041B"/>
    <w:rsid w:val="00ED0CC3"/>
    <w:rsid w:val="00ED16F4"/>
    <w:rsid w:val="00ED27EA"/>
    <w:rsid w:val="00ED2954"/>
    <w:rsid w:val="00ED32A7"/>
    <w:rsid w:val="00ED33CC"/>
    <w:rsid w:val="00ED40B5"/>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2218"/>
    <w:rsid w:val="00EF34CA"/>
    <w:rsid w:val="00EF366C"/>
    <w:rsid w:val="00EF3D73"/>
    <w:rsid w:val="00EF5F75"/>
    <w:rsid w:val="00EF74F9"/>
    <w:rsid w:val="00EF7C60"/>
    <w:rsid w:val="00F00F67"/>
    <w:rsid w:val="00F01AFB"/>
    <w:rsid w:val="00F023E8"/>
    <w:rsid w:val="00F02502"/>
    <w:rsid w:val="00F027DF"/>
    <w:rsid w:val="00F02E9E"/>
    <w:rsid w:val="00F031B3"/>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8B1"/>
    <w:rsid w:val="00F47E15"/>
    <w:rsid w:val="00F47FDF"/>
    <w:rsid w:val="00F50F32"/>
    <w:rsid w:val="00F5110D"/>
    <w:rsid w:val="00F51233"/>
    <w:rsid w:val="00F517A3"/>
    <w:rsid w:val="00F5187D"/>
    <w:rsid w:val="00F52796"/>
    <w:rsid w:val="00F52DA5"/>
    <w:rsid w:val="00F52EA7"/>
    <w:rsid w:val="00F53A5A"/>
    <w:rsid w:val="00F54231"/>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1CAB"/>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D84"/>
    <w:rsid w:val="00FA3ECB"/>
    <w:rsid w:val="00FA4115"/>
    <w:rsid w:val="00FA4485"/>
    <w:rsid w:val="00FA496F"/>
    <w:rsid w:val="00FA49F2"/>
    <w:rsid w:val="00FA525D"/>
    <w:rsid w:val="00FA5BF3"/>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1E"/>
    <w:rsid w:val="00FB7E90"/>
    <w:rsid w:val="00FC017C"/>
    <w:rsid w:val="00FC069F"/>
    <w:rsid w:val="00FC13BC"/>
    <w:rsid w:val="00FC14CD"/>
    <w:rsid w:val="00FC1614"/>
    <w:rsid w:val="00FC1696"/>
    <w:rsid w:val="00FC221B"/>
    <w:rsid w:val="00FC3A96"/>
    <w:rsid w:val="00FC4108"/>
    <w:rsid w:val="00FC502D"/>
    <w:rsid w:val="00FC5658"/>
    <w:rsid w:val="00FC5AA5"/>
    <w:rsid w:val="00FC6354"/>
    <w:rsid w:val="00FC6995"/>
    <w:rsid w:val="00FC6ABE"/>
    <w:rsid w:val="00FC7244"/>
    <w:rsid w:val="00FC76E9"/>
    <w:rsid w:val="00FD0152"/>
    <w:rsid w:val="00FD09D0"/>
    <w:rsid w:val="00FD0AAD"/>
    <w:rsid w:val="00FD2719"/>
    <w:rsid w:val="00FD33DB"/>
    <w:rsid w:val="00FD3549"/>
    <w:rsid w:val="00FD3667"/>
    <w:rsid w:val="00FD5200"/>
    <w:rsid w:val="00FD52B3"/>
    <w:rsid w:val="00FD5C90"/>
    <w:rsid w:val="00FD61A3"/>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D68BF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B-Body">
    <w:name w:val="B-Body"/>
    <w:link w:val="B-BodyChar"/>
    <w:uiPriority w:val="30"/>
    <w:qFormat/>
    <w:rsid w:val="002B3AE6"/>
    <w:pPr>
      <w:tabs>
        <w:tab w:val="left" w:pos="2160"/>
      </w:tabs>
      <w:spacing w:before="120" w:after="240" w:line="320" w:lineRule="exact"/>
    </w:pPr>
    <w:rPr>
      <w:rFonts w:ascii="Times New Roman" w:eastAsia="SimSun" w:hAnsi="Times New Roman"/>
      <w:sz w:val="22"/>
      <w:lang w:eastAsia="ja-JP"/>
    </w:rPr>
  </w:style>
  <w:style w:type="character" w:customStyle="1" w:styleId="B-BodyChar">
    <w:name w:val="B-Body Char"/>
    <w:basedOn w:val="DefaultParagraphFont"/>
    <w:link w:val="B-Body"/>
    <w:uiPriority w:val="30"/>
    <w:rsid w:val="002B3AE6"/>
    <w:rPr>
      <w:rFonts w:ascii="Times New Roman" w:eastAsia="SimSun" w:hAnsi="Times New Roman"/>
      <w:sz w:val="22"/>
      <w:lang w:eastAsia="ja-JP"/>
    </w:rPr>
  </w:style>
  <w:style w:type="paragraph" w:customStyle="1" w:styleId="E-Equation">
    <w:name w:val="E-Equation"/>
    <w:qFormat/>
    <w:rsid w:val="002B3AE6"/>
    <w:pPr>
      <w:tabs>
        <w:tab w:val="left" w:pos="1440"/>
        <w:tab w:val="center" w:pos="4680"/>
        <w:tab w:val="right" w:pos="9360"/>
      </w:tabs>
      <w:spacing w:before="120" w:after="240" w:line="240" w:lineRule="atLeast"/>
      <w:ind w:left="720" w:right="1440"/>
    </w:pPr>
    <w:rPr>
      <w:rFonts w:ascii="Times New Roman" w:hAnsi="Times New Roman"/>
      <w:sz w:val="22"/>
    </w:rPr>
  </w:style>
  <w:style w:type="paragraph" w:customStyle="1" w:styleId="F-FigureTitle">
    <w:name w:val="F-Figure Title"/>
    <w:link w:val="F-FigureTitleChar"/>
    <w:qFormat/>
    <w:rsid w:val="002B3AE6"/>
    <w:pPr>
      <w:keepNext/>
      <w:spacing w:before="120" w:after="240"/>
      <w:ind w:left="900"/>
    </w:pPr>
    <w:rPr>
      <w:rFonts w:ascii="Arial" w:eastAsia="SimHei" w:hAnsi="Arial" w:cs="Arial"/>
      <w:sz w:val="18"/>
    </w:rPr>
  </w:style>
  <w:style w:type="character" w:customStyle="1" w:styleId="F-FigureTitleChar">
    <w:name w:val="F-Figure Title Char"/>
    <w:basedOn w:val="DefaultParagraphFont"/>
    <w:link w:val="F-FigureTitle"/>
    <w:rsid w:val="002B3AE6"/>
    <w:rPr>
      <w:rFonts w:ascii="Arial" w:eastAsia="SimHei" w:hAnsi="Arial" w:cs="Arial"/>
      <w:sz w:val="18"/>
    </w:rPr>
  </w:style>
  <w:style w:type="paragraph" w:customStyle="1" w:styleId="Table-Number">
    <w:name w:val="Table-Number"/>
    <w:basedOn w:val="F-FigureTitle"/>
    <w:rsid w:val="004C72FB"/>
    <w:pPr>
      <w:numPr>
        <w:numId w:val="50"/>
      </w:numPr>
      <w:ind w:right="630" w:hanging="8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91871213">
      <w:bodyDiv w:val="1"/>
      <w:marLeft w:val="0"/>
      <w:marRight w:val="0"/>
      <w:marTop w:val="0"/>
      <w:marBottom w:val="0"/>
      <w:divBdr>
        <w:top w:val="none" w:sz="0" w:space="0" w:color="auto"/>
        <w:left w:val="none" w:sz="0" w:space="0" w:color="auto"/>
        <w:bottom w:val="none" w:sz="0" w:space="0" w:color="auto"/>
        <w:right w:val="none" w:sz="0" w:space="0" w:color="auto"/>
      </w:divBdr>
      <w:divsChild>
        <w:div w:id="2080203547">
          <w:marLeft w:val="360"/>
          <w:marRight w:val="0"/>
          <w:marTop w:val="200"/>
          <w:marBottom w:val="0"/>
          <w:divBdr>
            <w:top w:val="none" w:sz="0" w:space="0" w:color="auto"/>
            <w:left w:val="none" w:sz="0" w:space="0" w:color="auto"/>
            <w:bottom w:val="none" w:sz="0" w:space="0" w:color="auto"/>
            <w:right w:val="none" w:sz="0" w:space="0" w:color="auto"/>
          </w:divBdr>
        </w:div>
        <w:div w:id="352918739">
          <w:marLeft w:val="1080"/>
          <w:marRight w:val="0"/>
          <w:marTop w:val="100"/>
          <w:marBottom w:val="0"/>
          <w:divBdr>
            <w:top w:val="none" w:sz="0" w:space="0" w:color="auto"/>
            <w:left w:val="none" w:sz="0" w:space="0" w:color="auto"/>
            <w:bottom w:val="none" w:sz="0" w:space="0" w:color="auto"/>
            <w:right w:val="none" w:sz="0" w:space="0" w:color="auto"/>
          </w:divBdr>
        </w:div>
        <w:div w:id="1590309566">
          <w:marLeft w:val="1080"/>
          <w:marRight w:val="0"/>
          <w:marTop w:val="100"/>
          <w:marBottom w:val="0"/>
          <w:divBdr>
            <w:top w:val="none" w:sz="0" w:space="0" w:color="auto"/>
            <w:left w:val="none" w:sz="0" w:space="0" w:color="auto"/>
            <w:bottom w:val="none" w:sz="0" w:space="0" w:color="auto"/>
            <w:right w:val="none" w:sz="0" w:space="0" w:color="auto"/>
          </w:divBdr>
        </w:div>
        <w:div w:id="1561087933">
          <w:marLeft w:val="360"/>
          <w:marRight w:val="0"/>
          <w:marTop w:val="200"/>
          <w:marBottom w:val="0"/>
          <w:divBdr>
            <w:top w:val="none" w:sz="0" w:space="0" w:color="auto"/>
            <w:left w:val="none" w:sz="0" w:space="0" w:color="auto"/>
            <w:bottom w:val="none" w:sz="0" w:space="0" w:color="auto"/>
            <w:right w:val="none" w:sz="0" w:space="0" w:color="auto"/>
          </w:divBdr>
        </w:div>
      </w:divsChild>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7185980">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08200091">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16185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5952358">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015583">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11661844">
      <w:bodyDiv w:val="1"/>
      <w:marLeft w:val="0"/>
      <w:marRight w:val="0"/>
      <w:marTop w:val="0"/>
      <w:marBottom w:val="0"/>
      <w:divBdr>
        <w:top w:val="none" w:sz="0" w:space="0" w:color="auto"/>
        <w:left w:val="none" w:sz="0" w:space="0" w:color="auto"/>
        <w:bottom w:val="none" w:sz="0" w:space="0" w:color="auto"/>
        <w:right w:val="none" w:sz="0" w:space="0" w:color="auto"/>
      </w:divBdr>
    </w:div>
    <w:div w:id="1432553455">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6788992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0840170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8945692">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0353473">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3259737">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3188193">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5117154-A47C-4F7E-809C-F026D3BFF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9</Pages>
  <Words>2417</Words>
  <Characters>13783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4</cp:revision>
  <cp:lastPrinted>2018-01-10T16:17:00Z</cp:lastPrinted>
  <dcterms:created xsi:type="dcterms:W3CDTF">2018-01-23T22:10:00Z</dcterms:created>
  <dcterms:modified xsi:type="dcterms:W3CDTF">2018-01-23T22:14:00Z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1387765488</vt:i4>
  </property>
  <property fmtid="{D5CDD505-2E9C-101B-9397-08002B2CF9AE}" pid="11" name="_EmailSubject">
    <vt:lpwstr>IBB test</vt:lpwstr>
  </property>
  <property fmtid="{D5CDD505-2E9C-101B-9397-08002B2CF9AE}" pid="12" name="_AuthorEmail">
    <vt:lpwstr>mpapaleo@qti.qualcomm.com</vt:lpwstr>
  </property>
  <property fmtid="{D5CDD505-2E9C-101B-9397-08002B2CF9AE}" pid="13" name="_AuthorEmailDisplayName">
    <vt:lpwstr>Marco Papaleo</vt:lpwstr>
  </property>
  <property fmtid="{D5CDD505-2E9C-101B-9397-08002B2CF9AE}" pid="14" name="_PreviousAdHocReviewCycleID">
    <vt:i4>927243470</vt:i4>
  </property>
  <property fmtid="{D5CDD505-2E9C-101B-9397-08002B2CF9AE}" pid="15" name="_ReviewingToolsShownOnce">
    <vt:lpwstr/>
  </property>
</Properties>
</file>